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6EF2E4">
      <w:pPr>
        <w:suppressAutoHyphens/>
        <w:spacing w:before="60" w:after="60"/>
        <w:rPr>
          <w:rFonts w:cs="Arial"/>
          <w:b/>
          <w:bCs/>
          <w:color w:val="DB0720"/>
          <w:sz w:val="28"/>
          <w:szCs w:val="28"/>
          <w:lang w:eastAsia="de-AT"/>
        </w:rPr>
      </w:pPr>
      <w:r>
        <w:rPr>
          <w:rFonts w:cs="Arial"/>
          <w:b/>
          <w:bCs/>
          <w:color w:val="DB0720"/>
          <w:sz w:val="28"/>
          <w:szCs w:val="28"/>
          <w:lang w:eastAsia="de-AT"/>
        </w:rPr>
        <w:t xml:space="preserve">SUPPLEMENTAL CONTRACT </w:t>
      </w:r>
      <w:r>
        <w:rPr>
          <w:rFonts w:cs="Arial"/>
          <w:b/>
          <w:bCs/>
          <w:color w:val="DB0720"/>
          <w:sz w:val="28"/>
          <w:szCs w:val="28"/>
          <w:lang w:eastAsia="de-AT"/>
        </w:rPr>
        <w:br w:type="textWrapping"/>
      </w:r>
      <w:r>
        <w:rPr>
          <w:rFonts w:cs="Arial"/>
          <w:b/>
          <w:bCs/>
          <w:color w:val="DB0720"/>
          <w:sz w:val="28"/>
          <w:szCs w:val="28"/>
          <w:lang w:eastAsia="de-AT"/>
        </w:rPr>
        <w:t>FOR AVIATION, SPACE &amp; DEFENSE AUDITS</w:t>
      </w:r>
    </w:p>
    <w:p w14:paraId="1F68EDB2">
      <w:pPr>
        <w:suppressAutoHyphens/>
        <w:spacing w:before="60" w:after="60"/>
        <w:rPr>
          <w:rFonts w:eastAsia="宋体"/>
          <w:lang w:eastAsia="zh-CN"/>
        </w:rPr>
      </w:pPr>
      <w:r>
        <w:rPr>
          <w:rFonts w:hint="eastAsia" w:cs="Arial"/>
          <w:b/>
          <w:bCs/>
          <w:color w:val="DB0720"/>
          <w:sz w:val="28"/>
          <w:szCs w:val="28"/>
          <w:lang w:eastAsia="de-AT"/>
        </w:rPr>
        <w:t>航空、航天及国防领域审核补充合同</w:t>
      </w:r>
    </w:p>
    <w:p w14:paraId="1773897A">
      <w:pPr>
        <w:pStyle w:val="78"/>
        <w:pBdr>
          <w:bottom w:val="single" w:color="C00000" w:sz="6" w:space="1"/>
        </w:pBdr>
        <w:suppressAutoHyphens/>
        <w:spacing w:before="220"/>
        <w:ind w:firstLine="0"/>
        <w:rPr>
          <w:rFonts w:eastAsia="宋体"/>
          <w:lang w:val="en-US"/>
        </w:rPr>
      </w:pPr>
      <w:r>
        <w:rPr>
          <w:rFonts w:eastAsia="宋体"/>
          <w:lang w:val="en-US"/>
        </w:rPr>
        <w:t>Contracting paRTIES</w:t>
      </w:r>
      <w:r>
        <w:rPr>
          <w:rFonts w:hint="eastAsia" w:eastAsia="宋体"/>
          <w:lang w:val="en-US"/>
        </w:rPr>
        <w:t>缔约双方</w:t>
      </w:r>
    </w:p>
    <w:p w14:paraId="466DCF8F">
      <w:pPr>
        <w:suppressAutoHyphens/>
        <w:rPr>
          <w:rFonts w:eastAsia="宋体"/>
        </w:rPr>
      </w:pPr>
    </w:p>
    <w:p w14:paraId="7DC06A4D">
      <w:pPr>
        <w:suppressAutoHyphens/>
        <w:rPr>
          <w:rFonts w:eastAsia="宋体"/>
          <w:sz w:val="16"/>
          <w:szCs w:val="16"/>
        </w:rPr>
      </w:pPr>
      <w:r>
        <w:rPr>
          <w:rFonts w:eastAsia="宋体"/>
          <w:sz w:val="16"/>
          <w:szCs w:val="16"/>
        </w:rPr>
        <w:t>This supplemental contract is executed between</w:t>
      </w:r>
    </w:p>
    <w:p w14:paraId="59BB0581">
      <w:pPr>
        <w:suppressAutoHyphens/>
        <w:rPr>
          <w:rFonts w:eastAsia="宋体"/>
          <w:sz w:val="16"/>
          <w:szCs w:val="16"/>
        </w:rPr>
      </w:pPr>
      <w:r>
        <w:rPr>
          <w:rFonts w:eastAsia="宋体"/>
          <w:sz w:val="16"/>
          <w:szCs w:val="16"/>
        </w:rPr>
        <w:t>本补充合同由以下双方签订：</w:t>
      </w:r>
    </w:p>
    <w:tbl>
      <w:tblPr>
        <w:tblStyle w:val="29"/>
        <w:tblW w:w="0" w:type="auto"/>
        <w:tblInd w:w="0" w:type="dxa"/>
        <w:tblBorders>
          <w:top w:val="single" w:color="BEBEBE" w:themeColor="background1" w:themeShade="BF" w:sz="12" w:space="0"/>
          <w:left w:val="single" w:color="BEBEBE" w:themeColor="background1" w:themeShade="BF" w:sz="12" w:space="0"/>
          <w:bottom w:val="single" w:color="BEBEBE" w:themeColor="background1" w:themeShade="BF" w:sz="12" w:space="0"/>
          <w:right w:val="single" w:color="BEBEBE" w:themeColor="background1" w:themeShade="BF" w:sz="12" w:space="0"/>
          <w:insideH w:val="single" w:color="auto" w:sz="4" w:space="0"/>
          <w:insideV w:val="single" w:color="auto" w:sz="4" w:space="0"/>
        </w:tblBorders>
        <w:tblLayout w:type="autofit"/>
        <w:tblCellMar>
          <w:top w:w="0" w:type="dxa"/>
          <w:left w:w="108" w:type="dxa"/>
          <w:bottom w:w="0" w:type="dxa"/>
          <w:right w:w="108" w:type="dxa"/>
        </w:tblCellMar>
      </w:tblPr>
      <w:tblGrid>
        <w:gridCol w:w="4664"/>
        <w:gridCol w:w="4893"/>
      </w:tblGrid>
      <w:tr w14:paraId="3E4E9D84">
        <w:tblPrEx>
          <w:tblBorders>
            <w:top w:val="single" w:color="BEBEBE" w:themeColor="background1" w:themeShade="BF" w:sz="12" w:space="0"/>
            <w:left w:val="single" w:color="BEBEBE" w:themeColor="background1" w:themeShade="BF" w:sz="12" w:space="0"/>
            <w:bottom w:val="single" w:color="BEBEBE" w:themeColor="background1" w:themeShade="BF" w:sz="12" w:space="0"/>
            <w:right w:val="single" w:color="BEBEBE" w:themeColor="background1" w:themeShade="BF" w:sz="12"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4664" w:type="dxa"/>
            <w:shd w:val="clear" w:color="auto" w:fill="F1F1F1" w:themeFill="background1" w:themeFillShade="F2"/>
          </w:tcPr>
          <w:p w14:paraId="76CF17AD">
            <w:pPr>
              <w:suppressAutoHyphens/>
              <w:rPr>
                <w:rFonts w:eastAsia="宋体"/>
                <w:b/>
                <w:bCs/>
                <w:sz w:val="16"/>
                <w:szCs w:val="16"/>
              </w:rPr>
            </w:pPr>
            <w:r>
              <w:rPr>
                <w:rFonts w:eastAsia="宋体"/>
                <w:b/>
                <w:bCs/>
                <w:sz w:val="16"/>
                <w:szCs w:val="16"/>
              </w:rPr>
              <w:t>Client’s name and address</w:t>
            </w:r>
          </w:p>
          <w:p w14:paraId="01CC44AF">
            <w:pPr>
              <w:suppressAutoHyphens/>
              <w:rPr>
                <w:rFonts w:eastAsia="宋体"/>
                <w:b/>
                <w:bCs/>
                <w:sz w:val="16"/>
                <w:szCs w:val="16"/>
              </w:rPr>
            </w:pPr>
            <w:r>
              <w:rPr>
                <w:rFonts w:eastAsia="宋体"/>
                <w:b/>
                <w:bCs/>
                <w:sz w:val="16"/>
                <w:szCs w:val="16"/>
              </w:rPr>
              <w:t>(hereinafter referred to as “client”)</w:t>
            </w:r>
          </w:p>
          <w:p w14:paraId="1473925E">
            <w:pPr>
              <w:suppressAutoHyphens/>
              <w:rPr>
                <w:rFonts w:eastAsia="宋体"/>
                <w:b/>
                <w:bCs/>
                <w:sz w:val="16"/>
                <w:szCs w:val="16"/>
                <w:lang w:eastAsia="zh-CN"/>
              </w:rPr>
            </w:pPr>
            <w:r>
              <w:rPr>
                <w:rFonts w:eastAsia="宋体"/>
                <w:b/>
                <w:bCs/>
                <w:sz w:val="16"/>
                <w:szCs w:val="16"/>
                <w:lang w:eastAsia="zh-CN"/>
              </w:rPr>
              <w:t>客户名称及地址（以下简称 “客户”）</w:t>
            </w:r>
          </w:p>
        </w:tc>
        <w:tc>
          <w:tcPr>
            <w:tcW w:w="4893" w:type="dxa"/>
          </w:tcPr>
          <w:p w14:paraId="30C2DABF">
            <w:pPr>
              <w:suppressAutoHyphens/>
              <w:rPr>
                <w:rFonts w:eastAsia="宋体"/>
                <w:sz w:val="16"/>
                <w:szCs w:val="16"/>
              </w:rPr>
            </w:pPr>
            <w:bookmarkStart w:id="0" w:name="Text2"/>
            <w:r>
              <w:rPr>
                <w:rFonts w:ascii="Verdana" w:hAnsi="Verdana" w:eastAsia="Times New Roman" w:cs="Times New Roman"/>
                <w:sz w:val="16"/>
                <w:szCs w:val="16"/>
                <w:lang w:val="en-US" w:eastAsia="en-US" w:bidi="ar-SA"/>
              </w:rPr>
              <w:fldChar w:fldCharType="begin">
                <w:ffData>
                  <w:name w:val="Text2"/>
                  <w:enabled/>
                  <w:calcOnExit w:val="0"/>
                  <w:textInput/>
                </w:ffData>
              </w:fldChar>
            </w:r>
            <w:r>
              <w:rPr>
                <w:rFonts w:ascii="Verdana" w:hAnsi="Verdana" w:eastAsia="Times New Roman" w:cs="Times New Roman"/>
                <w:sz w:val="16"/>
                <w:szCs w:val="16"/>
                <w:lang w:val="en-US" w:eastAsia="en-US" w:bidi="ar-SA"/>
              </w:rPr>
              <w:instrText xml:space="preserve">FORMTEXT</w:instrText>
            </w:r>
            <w:r>
              <w:rPr>
                <w:rFonts w:ascii="Verdana" w:hAnsi="Verdana" w:eastAsia="Times New Roman" w:cs="Times New Roman"/>
                <w:sz w:val="16"/>
                <w:szCs w:val="16"/>
                <w:lang w:val="en-US" w:eastAsia="en-US" w:bidi="ar-SA"/>
              </w:rPr>
              <w:fldChar w:fldCharType="separate"/>
            </w:r>
            <w:r>
              <w:rPr>
                <w:rFonts w:hint="eastAsia" w:eastAsia="宋体" w:cs="Times New Roman"/>
                <w:sz w:val="16"/>
                <w:szCs w:val="16"/>
                <w:lang w:val="en-US" w:eastAsia="zh-CN" w:bidi="ar-SA"/>
              </w:rPr>
              <w:t xml:space="preserve">      </w:t>
            </w:r>
            <w:bookmarkStart w:id="5" w:name="_GoBack"/>
            <w:bookmarkEnd w:id="5"/>
            <w:r>
              <w:rPr>
                <w:rFonts w:hint="eastAsia" w:eastAsia="宋体" w:cs="Times New Roman"/>
                <w:sz w:val="16"/>
                <w:szCs w:val="16"/>
                <w:lang w:val="en-US" w:eastAsia="zh-CN" w:bidi="ar-SA"/>
              </w:rPr>
              <w:t xml:space="preserve"> </w:t>
            </w:r>
            <w:r>
              <w:rPr>
                <w:rFonts w:ascii="Verdana" w:hAnsi="Verdana" w:eastAsia="Times New Roman" w:cs="Times New Roman"/>
                <w:sz w:val="16"/>
                <w:szCs w:val="16"/>
                <w:lang w:val="en-US" w:eastAsia="en-US" w:bidi="ar-SA"/>
              </w:rPr>
              <w:fldChar w:fldCharType="end"/>
            </w:r>
            <w:bookmarkEnd w:id="0"/>
          </w:p>
        </w:tc>
      </w:tr>
      <w:tr w14:paraId="00BC8EA2">
        <w:tblPrEx>
          <w:tblBorders>
            <w:top w:val="single" w:color="BEBEBE" w:themeColor="background1" w:themeShade="BF" w:sz="12" w:space="0"/>
            <w:left w:val="single" w:color="BEBEBE" w:themeColor="background1" w:themeShade="BF" w:sz="12" w:space="0"/>
            <w:bottom w:val="single" w:color="BEBEBE" w:themeColor="background1" w:themeShade="BF" w:sz="12" w:space="0"/>
            <w:right w:val="single" w:color="BEBEBE" w:themeColor="background1" w:themeShade="BF" w:sz="12"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4664" w:type="dxa"/>
            <w:shd w:val="clear" w:color="auto" w:fill="F1F1F1" w:themeFill="background1" w:themeFillShade="F2"/>
          </w:tcPr>
          <w:p w14:paraId="68FD9968">
            <w:pPr>
              <w:suppressAutoHyphens/>
              <w:rPr>
                <w:rFonts w:eastAsia="宋体"/>
                <w:b/>
                <w:bCs/>
                <w:sz w:val="16"/>
                <w:szCs w:val="16"/>
              </w:rPr>
            </w:pPr>
            <w:r>
              <w:rPr>
                <w:rFonts w:eastAsia="宋体"/>
                <w:b/>
                <w:bCs/>
                <w:sz w:val="16"/>
                <w:szCs w:val="16"/>
              </w:rPr>
              <w:t>Further sites / addresses of the client included in the contract合同包含的客户其他场所 / 地址</w:t>
            </w:r>
          </w:p>
        </w:tc>
        <w:tc>
          <w:tcPr>
            <w:tcW w:w="4893" w:type="dxa"/>
          </w:tcPr>
          <w:p w14:paraId="63F31D6B">
            <w:pPr>
              <w:suppressAutoHyphens/>
              <w:rPr>
                <w:sz w:val="16"/>
                <w:szCs w:val="16"/>
              </w:rPr>
            </w:pPr>
            <w:bookmarkStart w:id="1" w:name="Text3"/>
            <w:r>
              <w:rPr>
                <w:rFonts w:ascii="Verdana" w:hAnsi="Verdana" w:eastAsia="Times New Roman" w:cs="Times New Roman"/>
                <w:sz w:val="16"/>
                <w:szCs w:val="16"/>
                <w:lang w:val="en-US" w:eastAsia="en-US" w:bidi="ar-SA"/>
              </w:rPr>
              <w:fldChar w:fldCharType="begin">
                <w:ffData>
                  <w:name w:val="Text3"/>
                  <w:enabled/>
                  <w:calcOnExit w:val="0"/>
                  <w:textInput/>
                </w:ffData>
              </w:fldChar>
            </w:r>
            <w:r>
              <w:rPr>
                <w:rFonts w:ascii="Verdana" w:hAnsi="Verdana" w:eastAsia="Times New Roman" w:cs="Times New Roman"/>
                <w:sz w:val="16"/>
                <w:szCs w:val="16"/>
                <w:lang w:val="en-US" w:eastAsia="en-US" w:bidi="ar-SA"/>
              </w:rPr>
              <w:instrText xml:space="preserve">FORMTEXT</w:instrText>
            </w:r>
            <w:r>
              <w:rPr>
                <w:rFonts w:ascii="Verdana" w:hAnsi="Verdana" w:eastAsia="Times New Roman" w:cs="Times New Roman"/>
                <w:sz w:val="16"/>
                <w:szCs w:val="16"/>
                <w:lang w:val="en-US" w:eastAsia="en-US" w:bidi="ar-SA"/>
              </w:rPr>
              <w:fldChar w:fldCharType="separate"/>
            </w:r>
            <w:r>
              <w:rPr>
                <w:rFonts w:hint="default" w:ascii="Verdana" w:hAnsi="Verdana" w:eastAsia="Times New Roman" w:cs="Times New Roman"/>
                <w:sz w:val="16"/>
                <w:szCs w:val="16"/>
                <w:lang w:val="en-US" w:eastAsia="en-US" w:bidi="ar-SA"/>
              </w:rPr>
              <w:t>     </w:t>
            </w:r>
            <w:r>
              <w:rPr>
                <w:rFonts w:ascii="Verdana" w:hAnsi="Verdana" w:eastAsia="Times New Roman" w:cs="Times New Roman"/>
                <w:sz w:val="16"/>
                <w:szCs w:val="16"/>
                <w:lang w:val="en-US" w:eastAsia="en-US" w:bidi="ar-SA"/>
              </w:rPr>
              <w:fldChar w:fldCharType="end"/>
            </w:r>
            <w:bookmarkEnd w:id="1"/>
          </w:p>
        </w:tc>
      </w:tr>
    </w:tbl>
    <w:p w14:paraId="5CB87A86">
      <w:pPr>
        <w:suppressAutoHyphens/>
        <w:rPr>
          <w:rFonts w:eastAsia="宋体"/>
        </w:rPr>
      </w:pPr>
    </w:p>
    <w:p w14:paraId="2C413DD3">
      <w:pPr>
        <w:suppressAutoHyphens/>
        <w:rPr>
          <w:rFonts w:eastAsia="宋体"/>
          <w:sz w:val="16"/>
          <w:szCs w:val="16"/>
          <w:lang w:eastAsia="zh-CN"/>
        </w:rPr>
      </w:pPr>
      <w:r>
        <w:rPr>
          <w:rFonts w:eastAsia="宋体"/>
          <w:sz w:val="16"/>
          <w:szCs w:val="16"/>
        </w:rPr>
        <w:t>and</w:t>
      </w:r>
      <w:r>
        <w:rPr>
          <w:rFonts w:hint="eastAsia" w:eastAsia="宋体"/>
          <w:sz w:val="16"/>
          <w:szCs w:val="16"/>
          <w:lang w:eastAsia="zh-CN"/>
        </w:rPr>
        <w:t>和</w:t>
      </w:r>
    </w:p>
    <w:p w14:paraId="5DED901B">
      <w:pPr>
        <w:suppressAutoHyphens/>
        <w:rPr>
          <w:rFonts w:eastAsia="宋体"/>
        </w:rPr>
      </w:pPr>
    </w:p>
    <w:tbl>
      <w:tblPr>
        <w:tblStyle w:val="29"/>
        <w:tblW w:w="0" w:type="auto"/>
        <w:tblInd w:w="0" w:type="dxa"/>
        <w:tblBorders>
          <w:top w:val="single" w:color="BEBEBE" w:themeColor="background1" w:themeShade="BF" w:sz="12" w:space="0"/>
          <w:left w:val="single" w:color="BEBEBE" w:themeColor="background1" w:themeShade="BF" w:sz="12" w:space="0"/>
          <w:bottom w:val="single" w:color="BEBEBE" w:themeColor="background1" w:themeShade="BF" w:sz="12" w:space="0"/>
          <w:right w:val="single" w:color="BEBEBE" w:themeColor="background1" w:themeShade="BF" w:sz="12" w:space="0"/>
          <w:insideH w:val="single" w:color="auto" w:sz="4" w:space="0"/>
          <w:insideV w:val="single" w:color="auto" w:sz="4" w:space="0"/>
        </w:tblBorders>
        <w:tblLayout w:type="autofit"/>
        <w:tblCellMar>
          <w:top w:w="0" w:type="dxa"/>
          <w:left w:w="108" w:type="dxa"/>
          <w:bottom w:w="0" w:type="dxa"/>
          <w:right w:w="108" w:type="dxa"/>
        </w:tblCellMar>
      </w:tblPr>
      <w:tblGrid>
        <w:gridCol w:w="4664"/>
        <w:gridCol w:w="4893"/>
      </w:tblGrid>
      <w:tr w14:paraId="1BC3A67B">
        <w:tblPrEx>
          <w:tblBorders>
            <w:top w:val="single" w:color="BEBEBE" w:themeColor="background1" w:themeShade="BF" w:sz="12" w:space="0"/>
            <w:left w:val="single" w:color="BEBEBE" w:themeColor="background1" w:themeShade="BF" w:sz="12" w:space="0"/>
            <w:bottom w:val="single" w:color="BEBEBE" w:themeColor="background1" w:themeShade="BF" w:sz="12" w:space="0"/>
            <w:right w:val="single" w:color="BEBEBE" w:themeColor="background1" w:themeShade="BF" w:sz="12"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4664" w:type="dxa"/>
            <w:shd w:val="clear" w:color="auto" w:fill="F1F1F1" w:themeFill="background1" w:themeFillShade="F2"/>
          </w:tcPr>
          <w:p w14:paraId="7DBE4E72">
            <w:pPr>
              <w:suppressAutoHyphens/>
              <w:rPr>
                <w:rFonts w:eastAsia="宋体"/>
                <w:b/>
                <w:bCs/>
                <w:sz w:val="16"/>
                <w:szCs w:val="16"/>
              </w:rPr>
            </w:pPr>
            <w:r>
              <w:rPr>
                <w:rFonts w:eastAsia="宋体"/>
                <w:b/>
                <w:bCs/>
                <w:sz w:val="16"/>
                <w:szCs w:val="16"/>
              </w:rPr>
              <w:t>Certification body’s name and address</w:t>
            </w:r>
          </w:p>
          <w:p w14:paraId="08D4682C">
            <w:pPr>
              <w:suppressAutoHyphens/>
              <w:rPr>
                <w:rFonts w:eastAsia="宋体"/>
                <w:b/>
                <w:bCs/>
                <w:sz w:val="16"/>
                <w:szCs w:val="16"/>
              </w:rPr>
            </w:pPr>
            <w:r>
              <w:rPr>
                <w:rFonts w:eastAsia="宋体"/>
                <w:b/>
                <w:bCs/>
                <w:sz w:val="16"/>
                <w:szCs w:val="16"/>
              </w:rPr>
              <w:t>(hereinafter referred to as “Quality Austria”)</w:t>
            </w:r>
          </w:p>
          <w:p w14:paraId="57AD2418">
            <w:pPr>
              <w:suppressAutoHyphens/>
              <w:rPr>
                <w:rFonts w:eastAsia="宋体"/>
                <w:b/>
                <w:bCs/>
                <w:sz w:val="16"/>
                <w:szCs w:val="16"/>
              </w:rPr>
            </w:pPr>
            <w:r>
              <w:rPr>
                <w:rFonts w:hint="eastAsia" w:eastAsia="宋体"/>
                <w:b/>
                <w:bCs/>
                <w:sz w:val="16"/>
                <w:szCs w:val="16"/>
              </w:rPr>
              <w:t>认证机构名称及地址 （以下简称“</w:t>
            </w:r>
            <w:r>
              <w:rPr>
                <w:rFonts w:eastAsia="宋体"/>
                <w:b/>
                <w:bCs/>
                <w:sz w:val="16"/>
                <w:szCs w:val="16"/>
              </w:rPr>
              <w:t>Quality Austria</w:t>
            </w:r>
            <w:r>
              <w:rPr>
                <w:rFonts w:hint="eastAsia" w:eastAsia="宋体"/>
                <w:b/>
                <w:bCs/>
                <w:sz w:val="16"/>
                <w:szCs w:val="16"/>
              </w:rPr>
              <w:t>”）</w:t>
            </w:r>
          </w:p>
        </w:tc>
        <w:tc>
          <w:tcPr>
            <w:tcW w:w="4893" w:type="dxa"/>
          </w:tcPr>
          <w:p w14:paraId="284E8AD5">
            <w:pPr>
              <w:suppressAutoHyphens/>
              <w:rPr>
                <w:sz w:val="16"/>
                <w:szCs w:val="16"/>
              </w:rPr>
            </w:pPr>
            <w:r>
              <w:rPr>
                <w:sz w:val="16"/>
                <w:szCs w:val="16"/>
              </w:rPr>
              <w:t>Quality Austria Certification GmbH奥地利质量认证有限公司</w:t>
            </w:r>
          </w:p>
          <w:p w14:paraId="6830C63F">
            <w:pPr>
              <w:suppressAutoHyphens/>
              <w:rPr>
                <w:sz w:val="16"/>
                <w:szCs w:val="16"/>
              </w:rPr>
            </w:pPr>
            <w:r>
              <w:rPr>
                <w:sz w:val="16"/>
                <w:szCs w:val="16"/>
              </w:rPr>
              <w:t>Zelinkagasse 10/3采林卡加斯街 10/3 号</w:t>
            </w:r>
          </w:p>
          <w:p w14:paraId="323259EC">
            <w:pPr>
              <w:suppressAutoHyphens/>
              <w:rPr>
                <w:sz w:val="16"/>
                <w:szCs w:val="16"/>
              </w:rPr>
            </w:pPr>
            <w:r>
              <w:rPr>
                <w:sz w:val="16"/>
                <w:szCs w:val="16"/>
              </w:rPr>
              <w:t>1010 Wien1010 维也纳</w:t>
            </w:r>
          </w:p>
          <w:p w14:paraId="50B06FF3">
            <w:pPr>
              <w:suppressAutoHyphens/>
              <w:rPr>
                <w:rFonts w:eastAsia="宋体"/>
                <w:sz w:val="16"/>
                <w:szCs w:val="16"/>
                <w:lang w:eastAsia="zh-CN"/>
              </w:rPr>
            </w:pPr>
            <w:r>
              <w:rPr>
                <w:sz w:val="16"/>
                <w:szCs w:val="16"/>
              </w:rPr>
              <w:t>Austria</w:t>
            </w:r>
            <w:r>
              <w:rPr>
                <w:rFonts w:hint="eastAsia" w:eastAsia="宋体"/>
                <w:sz w:val="16"/>
                <w:szCs w:val="16"/>
                <w:lang w:eastAsia="zh-CN"/>
              </w:rPr>
              <w:t>奥地利</w:t>
            </w:r>
          </w:p>
        </w:tc>
      </w:tr>
    </w:tbl>
    <w:p w14:paraId="3BD6710F">
      <w:pPr>
        <w:suppressAutoHyphens/>
        <w:rPr>
          <w:rFonts w:eastAsia="宋体"/>
        </w:rPr>
      </w:pPr>
    </w:p>
    <w:p w14:paraId="2CBC2504">
      <w:pPr>
        <w:pStyle w:val="78"/>
        <w:pBdr>
          <w:bottom w:val="single" w:color="C00000" w:sz="6" w:space="1"/>
        </w:pBdr>
        <w:suppressAutoHyphens/>
        <w:spacing w:before="220"/>
        <w:ind w:firstLine="0"/>
        <w:rPr>
          <w:rFonts w:eastAsia="宋体"/>
          <w:lang w:val="en-US"/>
        </w:rPr>
      </w:pPr>
      <w:r>
        <w:rPr>
          <w:rFonts w:eastAsia="宋体"/>
          <w:lang w:val="en-US"/>
        </w:rPr>
        <w:t>Obligations of the client</w:t>
      </w:r>
      <w:r>
        <w:rPr>
          <w:rFonts w:hint="eastAsia" w:eastAsia="宋体"/>
          <w:lang w:val="en-US"/>
        </w:rPr>
        <w:t>客户义务</w:t>
      </w:r>
    </w:p>
    <w:p w14:paraId="48E4D8C1">
      <w:pPr>
        <w:suppressAutoHyphens/>
        <w:rPr>
          <w:rFonts w:eastAsia="宋体"/>
        </w:rPr>
      </w:pPr>
    </w:p>
    <w:p w14:paraId="0E5C36D6">
      <w:pPr>
        <w:pStyle w:val="41"/>
        <w:suppressAutoHyphens/>
        <w:rPr>
          <w:rFonts w:eastAsia="宋体"/>
          <w:lang w:val="en-US"/>
        </w:rPr>
      </w:pPr>
      <w:r>
        <w:rPr>
          <w:rFonts w:eastAsia="宋体"/>
          <w:lang w:val="en-US"/>
        </w:rPr>
        <w:t>The client shall grant access to its premises to Quality Austria and the appointed auditors as well as the IAQG representatives and their respective delegates.</w:t>
      </w:r>
    </w:p>
    <w:p w14:paraId="02B0779A">
      <w:pPr>
        <w:pStyle w:val="41"/>
        <w:suppressAutoHyphens/>
        <w:rPr>
          <w:rFonts w:eastAsia="宋体"/>
          <w:lang w:val="en-US"/>
        </w:rPr>
      </w:pPr>
      <w:r>
        <w:rPr>
          <w:rFonts w:hint="eastAsia" w:eastAsia="宋体"/>
          <w:lang w:val="en-US"/>
        </w:rPr>
        <w:t>客户应允许</w:t>
      </w:r>
      <w:r>
        <w:rPr>
          <w:rFonts w:eastAsia="宋体"/>
          <w:lang w:val="en-US"/>
        </w:rPr>
        <w:t>Quality Austria</w:t>
      </w:r>
      <w:r>
        <w:rPr>
          <w:rFonts w:hint="eastAsia" w:eastAsia="宋体"/>
          <w:lang w:val="en-US" w:eastAsia="zh-CN"/>
        </w:rPr>
        <w:t>和</w:t>
      </w:r>
      <w:r>
        <w:rPr>
          <w:rFonts w:hint="eastAsia" w:eastAsia="宋体"/>
          <w:lang w:val="en-US"/>
        </w:rPr>
        <w:t>指定审核员以及国际航空航天质量集团（IAQG）代表及其各自授权人员进入其场所。</w:t>
      </w:r>
      <w:r>
        <w:rPr>
          <w:rFonts w:eastAsia="宋体"/>
          <w:lang w:val="en-US"/>
        </w:rPr>
        <w:t xml:space="preserve"> </w:t>
      </w:r>
    </w:p>
    <w:p w14:paraId="46E909D7">
      <w:pPr>
        <w:pStyle w:val="41"/>
        <w:suppressAutoHyphens/>
        <w:rPr>
          <w:rFonts w:eastAsia="宋体"/>
          <w:lang w:val="en-US"/>
        </w:rPr>
      </w:pPr>
      <w:r>
        <w:rPr>
          <w:rFonts w:eastAsia="宋体"/>
          <w:lang w:val="en-US"/>
        </w:rPr>
        <w:t>Accreditation bodies of Quality Austria, such as Akkreditierung Austria as part of the Federal Ministry of Austria – Digital and Economic Affairs, IAQG or the national representatives of IAQG, such as Austrian Aeronautics Industries Group (AAIG) in their role as Certification Body Management Committee (CBMC), or employees of Quality Austria may conduct Witness Audits at the client’s site.</w:t>
      </w:r>
    </w:p>
    <w:p w14:paraId="752B4E1A">
      <w:pPr>
        <w:pStyle w:val="41"/>
        <w:suppressAutoHyphens/>
        <w:rPr>
          <w:rFonts w:eastAsia="宋体"/>
          <w:lang w:val="en-US"/>
        </w:rPr>
      </w:pPr>
      <w:r>
        <w:rPr>
          <w:rFonts w:eastAsia="宋体"/>
          <w:lang w:val="en-US"/>
        </w:rPr>
        <w:t xml:space="preserve"> Quality Austria</w:t>
      </w:r>
      <w:r>
        <w:rPr>
          <w:rFonts w:hint="eastAsia" w:eastAsia="宋体"/>
          <w:lang w:val="en-US"/>
        </w:rPr>
        <w:t>，如作为奥地利联邦数字化与经济事务部组成部分的奥地利认证机构（Akkreditierung Austria）、国际航空航天质量集团（IAQG）或其国家代表机构，例如奥地利航空工业集团（AAIG）作为认证机构管理委员会（CBMC）的职能机构，以及</w:t>
      </w:r>
      <w:r>
        <w:rPr>
          <w:rFonts w:eastAsia="宋体"/>
          <w:lang w:val="en-US"/>
        </w:rPr>
        <w:t>Quality Austria</w:t>
      </w:r>
      <w:r>
        <w:rPr>
          <w:rFonts w:hint="eastAsia" w:eastAsia="宋体"/>
          <w:lang w:val="en-US"/>
        </w:rPr>
        <w:t>的员工，可在客户现场实施见证审核。</w:t>
      </w:r>
    </w:p>
    <w:p w14:paraId="196039DA">
      <w:pPr>
        <w:pStyle w:val="41"/>
        <w:numPr>
          <w:ilvl w:val="0"/>
          <w:numId w:val="0"/>
        </w:numPr>
        <w:suppressAutoHyphens/>
        <w:ind w:left="708"/>
        <w:rPr>
          <w:rFonts w:eastAsia="宋体"/>
          <w:lang w:val="en-US"/>
        </w:rPr>
      </w:pPr>
    </w:p>
    <w:p w14:paraId="1B982428">
      <w:pPr>
        <w:suppressAutoHyphens/>
        <w:ind w:left="708"/>
        <w:rPr>
          <w:rFonts w:eastAsia="宋体"/>
        </w:rPr>
      </w:pPr>
      <w:r>
        <w:rPr>
          <w:rFonts w:eastAsia="宋体"/>
        </w:rPr>
        <w:t>NOTE: Single persons can be refused for reasons of competition or impartiality. However, the procedure for performing Witness Audits on-site cannot be refused by the client.</w:t>
      </w:r>
    </w:p>
    <w:p w14:paraId="36AFE2B5">
      <w:pPr>
        <w:suppressAutoHyphens/>
        <w:ind w:left="708"/>
        <w:rPr>
          <w:rFonts w:eastAsia="宋体"/>
          <w:lang w:eastAsia="zh-CN"/>
        </w:rPr>
      </w:pPr>
      <w:r>
        <w:rPr>
          <w:rFonts w:hint="eastAsia" w:eastAsia="宋体"/>
          <w:lang w:eastAsia="zh-CN"/>
        </w:rPr>
        <w:t>注：基于竞争或公正性考量，客户可拒绝特定个人参与。但不得拒绝现场见证审核程序的执行。</w:t>
      </w:r>
    </w:p>
    <w:p w14:paraId="1498FADF">
      <w:pPr>
        <w:pStyle w:val="41"/>
        <w:suppressAutoHyphens/>
        <w:rPr>
          <w:rFonts w:eastAsia="宋体"/>
          <w:lang w:val="en-US"/>
        </w:rPr>
      </w:pPr>
      <w:r>
        <w:rPr>
          <w:rFonts w:eastAsia="宋体"/>
          <w:lang w:val="en-US"/>
        </w:rPr>
        <w:t>The client cannot refuse the presence of a certification body internal witness auditor.</w:t>
      </w:r>
    </w:p>
    <w:p w14:paraId="4BDCEA91">
      <w:pPr>
        <w:pStyle w:val="41"/>
        <w:suppressAutoHyphens/>
        <w:rPr>
          <w:rFonts w:eastAsia="宋体"/>
          <w:lang w:val="en-US"/>
        </w:rPr>
      </w:pPr>
      <w:r>
        <w:rPr>
          <w:rFonts w:hint="eastAsia" w:ascii="Segoe UI" w:hAnsi="Segoe UI" w:eastAsia="Segoe UI" w:cs="Segoe UI"/>
          <w:color w:val="2A2B2E"/>
          <w:sz w:val="21"/>
          <w:szCs w:val="21"/>
          <w:shd w:val="clear" w:color="auto" w:fill="FFFFFF"/>
        </w:rPr>
        <w:t>客户不得拒绝认证机构内部见证审核员的在场</w:t>
      </w:r>
      <w:r>
        <w:rPr>
          <w:rFonts w:eastAsia="宋体"/>
          <w:lang w:val="en-US"/>
        </w:rPr>
        <w:t xml:space="preserve"> </w:t>
      </w:r>
    </w:p>
    <w:p w14:paraId="751FA74C">
      <w:pPr>
        <w:pStyle w:val="41"/>
        <w:suppressAutoHyphens/>
        <w:rPr>
          <w:rFonts w:eastAsia="宋体"/>
          <w:lang w:val="en-US"/>
        </w:rPr>
      </w:pPr>
      <w:r>
        <w:rPr>
          <w:rFonts w:eastAsia="宋体"/>
          <w:lang w:val="en-US"/>
        </w:rPr>
        <w:t>The accreditation body, IAQG and the national representatives of IAQG may get a copy of the audit documentation for the OASIS database.</w:t>
      </w:r>
    </w:p>
    <w:p w14:paraId="5A61FAA8">
      <w:pPr>
        <w:pStyle w:val="41"/>
        <w:suppressAutoHyphens/>
        <w:rPr>
          <w:rFonts w:eastAsia="宋体"/>
          <w:lang w:val="en-US"/>
        </w:rPr>
      </w:pPr>
      <w:r>
        <w:rPr>
          <w:rFonts w:hint="eastAsia" w:ascii="Segoe UI" w:hAnsi="Segoe UI" w:eastAsia="Segoe UI" w:cs="Segoe UI"/>
          <w:color w:val="2A2B2E"/>
          <w:sz w:val="21"/>
          <w:szCs w:val="21"/>
          <w:shd w:val="clear" w:color="auto" w:fill="FFFFFF"/>
        </w:rPr>
        <w:t>认证机构、IAQG 以及 IAQG 的各国代表可获取 OASIS 数据库中的审核文件副本</w:t>
      </w:r>
    </w:p>
    <w:p w14:paraId="7BD9D62B">
      <w:pPr>
        <w:pStyle w:val="41"/>
        <w:suppressAutoHyphens/>
        <w:rPr>
          <w:rFonts w:eastAsia="宋体"/>
          <w:lang w:val="en-US"/>
        </w:rPr>
      </w:pPr>
      <w:r>
        <w:rPr>
          <w:rFonts w:eastAsia="宋体"/>
          <w:lang w:val="en-US"/>
        </w:rPr>
        <w:t>The client is appointing and maintaining an administrator for the OASIS Database and to keep the contact details updated in the database system. The administrator will have following responsibilities, at a minimum:</w:t>
      </w:r>
    </w:p>
    <w:p w14:paraId="6EFA3956">
      <w:pPr>
        <w:pStyle w:val="41"/>
        <w:suppressAutoHyphens/>
        <w:rPr>
          <w:rFonts w:eastAsia="宋体"/>
          <w:lang w:val="en-US"/>
        </w:rPr>
      </w:pPr>
      <w:r>
        <w:rPr>
          <w:rFonts w:eastAsia="宋体"/>
          <w:lang w:val="en-US"/>
        </w:rPr>
        <w:t>客户应指定并维持一名 OASIS 数据库管理员，负责及时更新数据库系统中的联系信息。该管理员至少应承担以下职责：</w:t>
      </w:r>
    </w:p>
    <w:p w14:paraId="1076930E">
      <w:pPr>
        <w:pStyle w:val="41"/>
        <w:numPr>
          <w:ilvl w:val="1"/>
          <w:numId w:val="3"/>
        </w:numPr>
        <w:suppressAutoHyphens/>
        <w:rPr>
          <w:rFonts w:eastAsia="宋体"/>
          <w:lang w:val="en-US"/>
        </w:rPr>
      </w:pPr>
      <w:r>
        <w:rPr>
          <w:rFonts w:eastAsia="宋体"/>
          <w:lang w:val="en-US"/>
        </w:rPr>
        <w:t>managing customer access requests for certification audit data in the OASIS database;管理 OASIS 数据库中针对认证审核数据的客户访问请求</w:t>
      </w:r>
    </w:p>
    <w:p w14:paraId="2FF42879">
      <w:pPr>
        <w:pStyle w:val="41"/>
        <w:numPr>
          <w:ilvl w:val="1"/>
          <w:numId w:val="3"/>
        </w:numPr>
        <w:suppressAutoHyphens/>
        <w:rPr>
          <w:rFonts w:eastAsia="宋体"/>
          <w:lang w:val="en-US"/>
        </w:rPr>
      </w:pPr>
      <w:r>
        <w:rPr>
          <w:rFonts w:eastAsia="宋体"/>
          <w:lang w:val="en-US"/>
        </w:rPr>
        <w:t>providing the name(s) and e-mail address(es) of the organization’s OASIS database administrator(s);提供本组织 OASIS 数据库管理员的姓名及电子邮箱</w:t>
      </w:r>
    </w:p>
    <w:p w14:paraId="44C18020">
      <w:pPr>
        <w:pStyle w:val="41"/>
        <w:numPr>
          <w:ilvl w:val="1"/>
          <w:numId w:val="3"/>
        </w:numPr>
        <w:suppressAutoHyphens/>
        <w:rPr>
          <w:rFonts w:eastAsia="宋体"/>
          <w:lang w:val="en-US"/>
        </w:rPr>
      </w:pPr>
      <w:r>
        <w:rPr>
          <w:rFonts w:eastAsia="宋体"/>
          <w:lang w:val="en-US"/>
        </w:rPr>
        <w:t>providing the organization’s contact person, phone, e-mail address, and website, as applicable;提供本组织联系人、电话、电子邮箱及适用的网站信息</w:t>
      </w:r>
    </w:p>
    <w:p w14:paraId="4E5D211E">
      <w:pPr>
        <w:pStyle w:val="41"/>
        <w:numPr>
          <w:ilvl w:val="1"/>
          <w:numId w:val="3"/>
        </w:numPr>
        <w:suppressAutoHyphens/>
        <w:rPr>
          <w:rFonts w:eastAsia="宋体"/>
          <w:lang w:val="en-US"/>
        </w:rPr>
      </w:pPr>
      <w:r>
        <w:rPr>
          <w:rFonts w:eastAsia="宋体"/>
          <w:lang w:val="en-US"/>
        </w:rPr>
        <w:t>providing access and assign roles/privileges to other users within the organization; and为组织内部其他用户提供数据库访问权限并分配角色 / 权限</w:t>
      </w:r>
    </w:p>
    <w:p w14:paraId="65CC5F67">
      <w:pPr>
        <w:pStyle w:val="41"/>
        <w:numPr>
          <w:ilvl w:val="1"/>
          <w:numId w:val="3"/>
        </w:numPr>
        <w:suppressAutoHyphens/>
        <w:rPr>
          <w:rFonts w:eastAsia="宋体"/>
          <w:lang w:val="en-US"/>
        </w:rPr>
      </w:pPr>
      <w:r>
        <w:rPr>
          <w:rFonts w:eastAsia="宋体"/>
          <w:lang w:val="en-US"/>
        </w:rPr>
        <w:t>managing OASIS database feedback generated or received.管理生成或收到的 OASIS 数据库反馈信息</w:t>
      </w:r>
    </w:p>
    <w:p w14:paraId="6C74D4A6">
      <w:pPr>
        <w:pStyle w:val="41"/>
        <w:suppressAutoHyphens/>
        <w:rPr>
          <w:rFonts w:eastAsia="宋体"/>
          <w:lang w:val="en-US"/>
        </w:rPr>
      </w:pPr>
      <w:r>
        <w:rPr>
          <w:rFonts w:eastAsia="宋体"/>
          <w:lang w:val="en-US"/>
        </w:rPr>
        <w:t>The client shall support the audit process of Quality Austria via direct input of data into the OASIS database, including online corrective action management.</w:t>
      </w:r>
    </w:p>
    <w:p w14:paraId="590EC32A">
      <w:pPr>
        <w:pStyle w:val="41"/>
        <w:suppressAutoHyphens/>
        <w:rPr>
          <w:rFonts w:eastAsia="宋体"/>
          <w:lang w:val="en-US"/>
        </w:rPr>
      </w:pPr>
      <w:r>
        <w:rPr>
          <w:rFonts w:hint="eastAsia" w:ascii="Segoe UI" w:hAnsi="Segoe UI" w:eastAsia="Segoe UI" w:cs="Segoe UI"/>
          <w:color w:val="2A2B2E"/>
          <w:sz w:val="21"/>
          <w:szCs w:val="21"/>
          <w:shd w:val="clear" w:color="auto" w:fill="FFFFFF"/>
        </w:rPr>
        <w:t>客户应通过直接向 OASIS 数据库输入数据来支持</w:t>
      </w:r>
      <w:r>
        <w:rPr>
          <w:rFonts w:eastAsia="宋体"/>
          <w:lang w:val="en-US"/>
        </w:rPr>
        <w:t>Quality Austria</w:t>
      </w:r>
      <w:r>
        <w:rPr>
          <w:rFonts w:hint="eastAsia" w:ascii="Segoe UI" w:hAnsi="Segoe UI" w:eastAsia="Segoe UI" w:cs="Segoe UI"/>
          <w:color w:val="2A2B2E"/>
          <w:sz w:val="21"/>
          <w:szCs w:val="21"/>
          <w:shd w:val="clear" w:color="auto" w:fill="FFFFFF"/>
        </w:rPr>
        <w:t>的审核流程，包括在线纠正措施管理</w:t>
      </w:r>
    </w:p>
    <w:p w14:paraId="2661FA9A">
      <w:pPr>
        <w:pStyle w:val="41"/>
        <w:suppressAutoHyphens/>
        <w:rPr>
          <w:rFonts w:eastAsia="宋体"/>
          <w:lang w:val="en-US"/>
        </w:rPr>
      </w:pPr>
      <w:r>
        <w:rPr>
          <w:rFonts w:eastAsia="宋体"/>
          <w:lang w:val="en-US"/>
        </w:rPr>
        <w:t>The client shall either provide electronic access to audit results data contained in the OASIS database, or download and distribute audit results data to its aviation, space and defense (ASD) customers and regulatory authorities, upon request, unless justification can be provided (e.g. competition, confidentiality, conflict of interest). Specific customer requirements with respect to OASIS database access should be addressed. The client has the option to make information available to all OASIS database users.</w:t>
      </w:r>
    </w:p>
    <w:p w14:paraId="17D79F58">
      <w:pPr>
        <w:pStyle w:val="41"/>
        <w:suppressAutoHyphens/>
        <w:rPr>
          <w:rFonts w:eastAsia="宋体"/>
          <w:lang w:val="en-US"/>
        </w:rPr>
      </w:pPr>
      <w:r>
        <w:rPr>
          <w:rFonts w:eastAsia="宋体"/>
          <w:lang w:val="en-US"/>
        </w:rPr>
        <w:t>应要求，客户应提供 OASIS 数据库中审核结果数据的电子访问权限，或下载并向其航空、航天及国防（ASD）领域客户及监管机构分发该审核结果数据，除非能提供合理理由（如竞争、保密、利益冲突等）。客户应满足客户关于 OASIS 数据库访问的特定要求，并可选择向所有 OASIS 数据库用户开放相关信息</w:t>
      </w:r>
    </w:p>
    <w:p w14:paraId="4608ABB0">
      <w:pPr>
        <w:pStyle w:val="41"/>
        <w:suppressAutoHyphens/>
        <w:rPr>
          <w:rFonts w:eastAsia="宋体"/>
          <w:lang w:val="en-US"/>
        </w:rPr>
      </w:pPr>
      <w:r>
        <w:rPr>
          <w:rFonts w:eastAsia="宋体"/>
          <w:lang w:val="en-US"/>
        </w:rPr>
        <w:t xml:space="preserve">The client will receive a preparation form (FO_27_01_047e) from the responsible auditor prior to each audit. The requested information shown on the form shall be returned to the auditor min. 90 days before the start of the audit as shown in the form. Missing or inadequate information will lead in a higher risk level as a result of the organization certification analysis process (OCAP) performed by Quality Austria and may cause extension of the audit duration. </w:t>
      </w:r>
    </w:p>
    <w:p w14:paraId="55AF6C08">
      <w:pPr>
        <w:pStyle w:val="41"/>
        <w:suppressAutoHyphens/>
        <w:rPr>
          <w:rFonts w:eastAsia="宋体"/>
          <w:lang w:val="en-US"/>
        </w:rPr>
      </w:pPr>
      <w:r>
        <w:rPr>
          <w:rFonts w:hint="eastAsia" w:eastAsia="宋体"/>
          <w:lang w:val="en-US"/>
        </w:rPr>
        <w:t>客户将在每次审核前从负责的审核员处收到一份准备表格（FO_27_01_047e）。表格中要求的信息应在审核开始前至少90天返回给审核员，如表格所示。缺失或不完整的信息将导致由Quality Austria执行的组织认证分析过程（OCAP）中风险等级的提升，并可能导致审核期限的延长。</w:t>
      </w:r>
    </w:p>
    <w:p w14:paraId="45D05ABA">
      <w:pPr>
        <w:pStyle w:val="41"/>
        <w:suppressAutoHyphens/>
        <w:rPr>
          <w:rFonts w:eastAsia="宋体"/>
          <w:lang w:val="en-US"/>
        </w:rPr>
      </w:pPr>
      <w:r>
        <w:rPr>
          <w:rFonts w:eastAsia="宋体"/>
          <w:lang w:val="en-US"/>
        </w:rPr>
        <w:t>In case, Performance Based Surveillance and Recertification Process (PBS/RP) applies, the client shall submit the PBS/RP status overview form (FO_27_01_224e) as part of the preparation of each audit (together with FO_27_01_047e).</w:t>
      </w:r>
    </w:p>
    <w:p w14:paraId="65357A05">
      <w:pPr>
        <w:pStyle w:val="41"/>
        <w:suppressAutoHyphens/>
        <w:rPr>
          <w:rFonts w:eastAsia="宋体"/>
          <w:lang w:val="en-US"/>
        </w:rPr>
      </w:pPr>
      <w:r>
        <w:rPr>
          <w:rFonts w:eastAsia="宋体"/>
          <w:lang w:val="en-US"/>
        </w:rPr>
        <w:t>若适用基于绩效的监督与再认证流程（PBS/RP），客户应在每次审核准备阶段提交基于绩效的监督与再认证流程（PBS/RP）状态概述表（编号：FO_27_01_224e），与准备表格（编号：FO_27_01_047e）一并提交</w:t>
      </w:r>
    </w:p>
    <w:p w14:paraId="4F96F399">
      <w:pPr>
        <w:pStyle w:val="41"/>
        <w:suppressAutoHyphens/>
        <w:rPr>
          <w:rFonts w:eastAsia="宋体"/>
          <w:lang w:val="en-US"/>
        </w:rPr>
      </w:pPr>
      <w:r>
        <w:rPr>
          <w:rFonts w:eastAsia="宋体"/>
          <w:lang w:val="en-US"/>
        </w:rPr>
        <w:t>Client shall report to Quality Austria any major changes (e.g., certification structure or scope), third-party complaints about the quality management system or downgrading in supplier assessment by the client’s customers, which are subject to the agreed reporting obligations, immediately (within five workdays).</w:t>
      </w:r>
    </w:p>
    <w:p w14:paraId="6D0C0FFE">
      <w:pPr>
        <w:pStyle w:val="41"/>
        <w:suppressAutoHyphens/>
        <w:rPr>
          <w:rFonts w:eastAsia="宋体"/>
          <w:lang w:val="en-US"/>
        </w:rPr>
      </w:pPr>
      <w:r>
        <w:rPr>
          <w:rFonts w:eastAsia="宋体"/>
          <w:lang w:val="en-US"/>
        </w:rPr>
        <w:t>客户发生任何重大变更（如认证结构或范围）、收到针对其质量管理体系的第三方投诉，或其客户对其供应商评估降级时，如属约定报告义务范围，应立即（5 个工作日内）通知 Quality Austria</w:t>
      </w:r>
    </w:p>
    <w:p w14:paraId="02CE7432">
      <w:pPr>
        <w:pStyle w:val="41"/>
        <w:suppressAutoHyphens/>
        <w:rPr>
          <w:rFonts w:eastAsia="宋体"/>
          <w:lang w:val="en-US"/>
        </w:rPr>
      </w:pPr>
      <w:r>
        <w:rPr>
          <w:rFonts w:eastAsia="宋体"/>
          <w:lang w:val="en-US"/>
        </w:rPr>
        <w:t>Any changes of the legal form, the status relating to commercial law, organizational changes, such as top management or system representative, postal address and location, scope of the business activities, major changes of the management systems and process shall be reported to Quality Austria immediately.</w:t>
      </w:r>
    </w:p>
    <w:p w14:paraId="454C4B73">
      <w:pPr>
        <w:pStyle w:val="41"/>
        <w:suppressAutoHyphens/>
        <w:rPr>
          <w:rFonts w:eastAsia="宋体"/>
          <w:lang w:val="en-US"/>
        </w:rPr>
      </w:pPr>
      <w:r>
        <w:rPr>
          <w:rFonts w:eastAsia="宋体"/>
          <w:lang w:val="en-US"/>
        </w:rPr>
        <w:t>客户的法律形式、商法相关状态、组织变更（如最高管理层或体系代表变动）、邮政地址及场所、业务活动范围、管理体系及流程的重大变更，均应立即通知Quality Austria</w:t>
      </w:r>
    </w:p>
    <w:p w14:paraId="1AF757D8">
      <w:pPr>
        <w:pStyle w:val="41"/>
        <w:suppressAutoHyphens/>
        <w:rPr>
          <w:rFonts w:eastAsia="宋体"/>
          <w:lang w:val="en-US"/>
        </w:rPr>
      </w:pPr>
      <w:r>
        <w:rPr>
          <w:rFonts w:eastAsia="宋体"/>
          <w:lang w:val="en-US"/>
        </w:rPr>
        <w:t>The client informs Quality Austria about classified material or legal requirements (such as ITAR or export control), related to CB and/or auditor access as part of the preparation for each audit.</w:t>
      </w:r>
    </w:p>
    <w:p w14:paraId="1DF1B484">
      <w:pPr>
        <w:pStyle w:val="41"/>
        <w:suppressAutoHyphens/>
        <w:rPr>
          <w:rFonts w:eastAsia="宋体"/>
          <w:lang w:val="en-US"/>
        </w:rPr>
      </w:pPr>
      <w:r>
        <w:rPr>
          <w:rFonts w:eastAsia="宋体"/>
          <w:lang w:val="en-US"/>
        </w:rPr>
        <w:t>每次审核准备阶段，客户应向Quality Austria告知与认证机构和 / 或审核员访问相关的涉密资料或法律要求（如国际武器贸易条例（ITAR）或出口管制规定）</w:t>
      </w:r>
    </w:p>
    <w:p w14:paraId="5CA6E486">
      <w:pPr>
        <w:pStyle w:val="41"/>
        <w:suppressAutoHyphens/>
        <w:rPr>
          <w:rFonts w:eastAsia="宋体"/>
          <w:lang w:val="en-US"/>
        </w:rPr>
      </w:pPr>
      <w:r>
        <w:rPr>
          <w:rFonts w:eastAsia="宋体"/>
          <w:lang w:val="en-US"/>
        </w:rPr>
        <w:t>In case of issues regarding access limitations, the client shall work with Quality Austria on resolving (e.g. resolve by limiting the scope of certification).</w:t>
      </w:r>
    </w:p>
    <w:p w14:paraId="0999C7D8">
      <w:pPr>
        <w:pStyle w:val="41"/>
        <w:suppressAutoHyphens/>
        <w:rPr>
          <w:rFonts w:eastAsia="宋体"/>
          <w:lang w:val="en-US"/>
        </w:rPr>
      </w:pPr>
      <w:r>
        <w:rPr>
          <w:rFonts w:eastAsia="宋体"/>
          <w:lang w:val="en-US"/>
        </w:rPr>
        <w:t>若存在访问限制相关问题，客户应与Quality Austria协作解决（如</w:t>
      </w:r>
      <w:r>
        <w:rPr>
          <w:rFonts w:hint="eastAsia" w:eastAsia="宋体"/>
          <w:lang w:val="en-US" w:eastAsia="zh-CN"/>
        </w:rPr>
        <w:t>，</w:t>
      </w:r>
      <w:r>
        <w:rPr>
          <w:rFonts w:eastAsia="宋体"/>
          <w:lang w:val="en-US"/>
        </w:rPr>
        <w:t>通过限制认证范围解决）</w:t>
      </w:r>
    </w:p>
    <w:p w14:paraId="6B9450CE">
      <w:pPr>
        <w:pStyle w:val="41"/>
        <w:suppressAutoHyphens/>
        <w:rPr>
          <w:rFonts w:eastAsia="宋体"/>
          <w:lang w:val="en-US"/>
        </w:rPr>
      </w:pPr>
      <w:r>
        <w:rPr>
          <w:rFonts w:eastAsia="宋体"/>
          <w:lang w:val="en-US"/>
        </w:rPr>
        <w:t>In case the certification is suspended, notification shall be provided to your aviation, space and defense (ASD) customers within 15 days of suspension. Also, notification should be provided when the certification is withdrawn.</w:t>
      </w:r>
    </w:p>
    <w:p w14:paraId="33ECD68A">
      <w:pPr>
        <w:pStyle w:val="41"/>
        <w:suppressAutoHyphens/>
        <w:rPr>
          <w:rFonts w:eastAsia="宋体"/>
          <w:lang w:val="en-US"/>
        </w:rPr>
      </w:pPr>
      <w:r>
        <w:rPr>
          <w:rFonts w:eastAsia="宋体"/>
          <w:lang w:val="en-US"/>
        </w:rPr>
        <w:t>若认证被暂停，客户应在暂停后 15 天内通知其航空、航天及国防（ASD）领域客户；认证被撤销时，亦应履行通知义务</w:t>
      </w:r>
    </w:p>
    <w:p w14:paraId="1FEF2E99">
      <w:pPr>
        <w:pStyle w:val="41"/>
        <w:suppressAutoHyphens/>
        <w:rPr>
          <w:rFonts w:eastAsia="宋体"/>
          <w:lang w:val="en-US"/>
        </w:rPr>
      </w:pPr>
      <w:r>
        <w:rPr>
          <w:rFonts w:eastAsia="宋体"/>
          <w:lang w:val="en-US"/>
        </w:rPr>
        <w:t>The client allows Quality Austria to publish public data (e.g. information on the AQMS certification and its’ status) and non-public data (e.g. audit results, assessment results, nonconformities, corrective action, scoring) in the OASIS database.</w:t>
      </w:r>
    </w:p>
    <w:p w14:paraId="35DB5B7B">
      <w:pPr>
        <w:pStyle w:val="41"/>
        <w:suppressAutoHyphens/>
        <w:rPr>
          <w:rFonts w:eastAsia="宋体"/>
          <w:lang w:val="en-US"/>
        </w:rPr>
      </w:pPr>
      <w:r>
        <w:rPr>
          <w:rFonts w:eastAsia="宋体"/>
          <w:lang w:val="en-US"/>
        </w:rPr>
        <w:t>客户允许Quality Austria在 OASIS 数据库中发布公开数据（如航空航天质量管理体系（AQMS）认证相关信息及其状态）及非公开数据（如审核结果、评估结果、不符合项、纠正措施、评分等）</w:t>
      </w:r>
    </w:p>
    <w:p w14:paraId="3B51447E">
      <w:pPr>
        <w:pStyle w:val="41"/>
        <w:suppressAutoHyphens/>
        <w:rPr>
          <w:rFonts w:eastAsia="宋体"/>
          <w:lang w:val="en-US"/>
        </w:rPr>
      </w:pPr>
      <w:r>
        <w:rPr>
          <w:rFonts w:eastAsia="宋体"/>
          <w:lang w:val="en-US"/>
        </w:rPr>
        <w:t>The client shall identify when there is a need to omit information that is proprietary or subject to restrictions, from the audit report, prior to the OASIS database entry.</w:t>
      </w:r>
    </w:p>
    <w:p w14:paraId="37BD6233">
      <w:pPr>
        <w:pStyle w:val="41"/>
        <w:suppressAutoHyphens/>
        <w:rPr>
          <w:rFonts w:eastAsia="宋体"/>
          <w:lang w:val="en-US"/>
        </w:rPr>
      </w:pPr>
      <w:r>
        <w:rPr>
          <w:rFonts w:eastAsia="宋体"/>
          <w:lang w:val="en-US"/>
        </w:rPr>
        <w:t>客户应在相关信息录入 OASIS 数据库前，确认是否需在审核报告中省略专有信息或受限制信息</w:t>
      </w:r>
    </w:p>
    <w:p w14:paraId="776D22DA">
      <w:pPr>
        <w:pStyle w:val="41"/>
        <w:suppressAutoHyphens/>
        <w:rPr>
          <w:rFonts w:eastAsia="宋体"/>
          <w:lang w:val="en-US"/>
        </w:rPr>
      </w:pPr>
      <w:r>
        <w:rPr>
          <w:rFonts w:eastAsia="宋体"/>
          <w:lang w:val="en-US"/>
        </w:rPr>
        <w:t xml:space="preserve">The use of logos of the accreditation body, IAQG or its national representatives by the client is not permitted. </w:t>
      </w:r>
    </w:p>
    <w:p w14:paraId="30DF0DB7">
      <w:pPr>
        <w:pStyle w:val="41"/>
        <w:suppressAutoHyphens/>
        <w:rPr>
          <w:rFonts w:eastAsia="宋体"/>
          <w:lang w:val="en-US"/>
        </w:rPr>
      </w:pPr>
      <w:r>
        <w:rPr>
          <w:rFonts w:eastAsia="宋体"/>
          <w:lang w:val="en-US"/>
        </w:rPr>
        <w:t>客户不得使用认可机构、国际航空航天质量集团（IAQG）或其国家代表的标识</w:t>
      </w:r>
    </w:p>
    <w:p w14:paraId="781DFD85">
      <w:pPr>
        <w:pStyle w:val="41"/>
        <w:suppressAutoHyphens/>
        <w:rPr>
          <w:rFonts w:eastAsia="宋体"/>
          <w:b/>
          <w:bCs/>
          <w:lang w:val="en-US"/>
        </w:rPr>
      </w:pPr>
      <w:r>
        <w:rPr>
          <w:rFonts w:eastAsia="宋体"/>
          <w:b/>
          <w:bCs/>
          <w:lang w:val="en-US"/>
        </w:rPr>
        <w:t>The client explicitly accepts and undertakes to fully comply with the General Terms and Conditions (GTC), as amended from time to time. The GTC are attached as integral part of this Contract. Furthermore, the GTC are available as download on the Internet (https://www.qualityaustria.com/</w:t>
      </w:r>
      <w:r>
        <w:rPr>
          <w:rFonts w:eastAsia="宋体"/>
          <w:b/>
          <w:bCs/>
          <w:lang w:val="en-US"/>
        </w:rPr>
        <w:br w:type="textWrapping"/>
      </w:r>
      <w:r>
        <w:rPr>
          <w:rFonts w:eastAsia="宋体"/>
          <w:b/>
          <w:bCs/>
          <w:lang w:val="en-US"/>
        </w:rPr>
        <w:t>en/company/gtc/). For avoidance of doubt, the GTC shall apply in the latest version valid at the time as available on the Internet at the above address.</w:t>
      </w:r>
    </w:p>
    <w:p w14:paraId="3193C191">
      <w:pPr>
        <w:pStyle w:val="41"/>
        <w:suppressAutoHyphens/>
        <w:rPr>
          <w:rFonts w:eastAsia="宋体"/>
          <w:b/>
          <w:bCs/>
          <w:lang w:val="en-US"/>
        </w:rPr>
      </w:pPr>
      <w:r>
        <w:rPr>
          <w:rFonts w:hint="eastAsia" w:eastAsia="宋体"/>
          <w:b/>
          <w:bCs/>
          <w:lang w:val="en-US"/>
        </w:rPr>
        <w:t>客户明确接受并承诺完全遵守《通用条款和条件》（GTC），该条款和条件会不时修订。《通用条款和条件》作为本合同不可分割的一部分附于本合同之后。此外</w:t>
      </w:r>
      <w:r>
        <w:rPr>
          <w:rFonts w:hint="eastAsia" w:eastAsia="宋体"/>
          <w:b/>
          <w:bCs/>
        </w:rPr>
        <w:t>，</w:t>
      </w:r>
      <w:r>
        <w:rPr>
          <w:rFonts w:hint="eastAsia" w:eastAsia="宋体"/>
          <w:b/>
          <w:bCs/>
          <w:lang w:val="en-US"/>
        </w:rPr>
        <w:t>该条款和条件可在互联网上下载</w:t>
      </w:r>
      <w:r>
        <w:rPr>
          <w:rFonts w:hint="eastAsia" w:eastAsia="宋体"/>
          <w:b/>
          <w:bCs/>
        </w:rPr>
        <w:t>（https://www.qualityaustria.com/en/company/gtc/）</w:t>
      </w:r>
      <w:r>
        <w:rPr>
          <w:rFonts w:hint="eastAsia" w:eastAsia="宋体"/>
          <w:b/>
          <w:bCs/>
          <w:lang w:val="en-US"/>
        </w:rPr>
        <w:t>。为避免任何疑问，《通用条款和条件》应适用在上述网址上可获取的最新有效版本</w:t>
      </w:r>
      <w:r>
        <w:fldChar w:fldCharType="begin"/>
      </w:r>
      <w:r>
        <w:instrText xml:space="preserve">HYPERLINK</w:instrText>
      </w:r>
      <w:r>
        <w:fldChar w:fldCharType="separate"/>
      </w:r>
      <w:r>
        <w:fldChar w:fldCharType="end"/>
      </w:r>
    </w:p>
    <w:p w14:paraId="0C75A109">
      <w:pPr>
        <w:pStyle w:val="78"/>
        <w:pBdr>
          <w:bottom w:val="single" w:color="C00000" w:sz="6" w:space="1"/>
        </w:pBdr>
        <w:suppressAutoHyphens/>
        <w:spacing w:before="220"/>
        <w:ind w:firstLine="0"/>
        <w:rPr>
          <w:rFonts w:eastAsia="宋体"/>
          <w:lang w:val="en-US"/>
        </w:rPr>
      </w:pPr>
      <w:r>
        <w:rPr>
          <w:rFonts w:eastAsia="宋体"/>
          <w:lang w:val="en-US"/>
        </w:rPr>
        <w:t>Obligations of Quality Austria</w:t>
      </w:r>
      <w:r>
        <w:rPr>
          <w:rFonts w:hint="eastAsia" w:eastAsia="宋体"/>
          <w:lang w:val="en-US" w:eastAsia="zh-CN"/>
        </w:rPr>
        <w:t xml:space="preserve"> </w:t>
      </w:r>
      <w:r>
        <w:rPr>
          <w:rFonts w:eastAsia="宋体"/>
          <w:lang w:val="en-US"/>
        </w:rPr>
        <w:t>Quality Austria</w:t>
      </w:r>
      <w:r>
        <w:rPr>
          <w:rFonts w:hint="eastAsia" w:eastAsia="宋体"/>
          <w:lang w:val="en-US"/>
        </w:rPr>
        <w:t>的义务</w:t>
      </w:r>
    </w:p>
    <w:p w14:paraId="17AF8314">
      <w:pPr>
        <w:suppressAutoHyphens/>
        <w:rPr>
          <w:rFonts w:eastAsia="宋体"/>
        </w:rPr>
      </w:pPr>
    </w:p>
    <w:p w14:paraId="43446192">
      <w:pPr>
        <w:pStyle w:val="41"/>
        <w:suppressAutoHyphens/>
        <w:rPr>
          <w:rFonts w:eastAsia="宋体"/>
          <w:lang w:val="en-US"/>
        </w:rPr>
      </w:pPr>
      <w:r>
        <w:rPr>
          <w:rFonts w:eastAsia="宋体"/>
          <w:lang w:val="en-US"/>
        </w:rPr>
        <w:t>Conducting audits in accordance with the certification procedure based on applicable rules of IAQG, as well as EN 9100, EN 9110 and/or EN 9120 in the latest version.</w:t>
      </w:r>
    </w:p>
    <w:p w14:paraId="315FE692">
      <w:pPr>
        <w:pStyle w:val="41"/>
        <w:suppressAutoHyphens/>
        <w:rPr>
          <w:rFonts w:eastAsia="宋体"/>
          <w:lang w:val="en-US"/>
        </w:rPr>
      </w:pPr>
      <w:r>
        <w:rPr>
          <w:rFonts w:eastAsia="宋体"/>
          <w:lang w:val="en-US"/>
        </w:rPr>
        <w:t>依据国际航空航天质量集团（IAQG）的适用规则，以及最新版本的 EN 9100、EN 9110 和 / 或 EN 9120 标准，按照认证流程开展审核工作</w:t>
      </w:r>
    </w:p>
    <w:p w14:paraId="471D4249">
      <w:pPr>
        <w:pStyle w:val="41"/>
        <w:suppressAutoHyphens/>
        <w:rPr>
          <w:rFonts w:eastAsia="宋体"/>
          <w:lang w:val="en-US"/>
        </w:rPr>
      </w:pPr>
      <w:r>
        <w:rPr>
          <w:rFonts w:eastAsia="宋体"/>
          <w:lang w:val="en-US"/>
        </w:rPr>
        <w:t>The usage of the specific IAQG checklists, procedures and methods for the audits (e.g Stage 1, Stage 2) in the latest revision.</w:t>
      </w:r>
    </w:p>
    <w:p w14:paraId="4884BCCA">
      <w:pPr>
        <w:pStyle w:val="41"/>
        <w:suppressAutoHyphens/>
        <w:rPr>
          <w:rFonts w:eastAsia="宋体"/>
          <w:lang w:val="en-US"/>
        </w:rPr>
      </w:pPr>
      <w:r>
        <w:rPr>
          <w:rFonts w:hint="eastAsia" w:ascii="Segoe UI" w:hAnsi="Segoe UI" w:eastAsia="Segoe UI" w:cs="Segoe UI"/>
          <w:color w:val="2A2B2E"/>
          <w:sz w:val="21"/>
          <w:szCs w:val="21"/>
          <w:shd w:val="clear" w:color="auto" w:fill="FFFFFF"/>
        </w:rPr>
        <w:t>在最新修订版中，特定IAQG审核清单、程序及方法（如第一阶段、第二阶段）的使用情况</w:t>
      </w:r>
    </w:p>
    <w:p w14:paraId="274B7C28">
      <w:pPr>
        <w:pStyle w:val="41"/>
        <w:suppressAutoHyphens/>
        <w:rPr>
          <w:rFonts w:eastAsia="宋体"/>
          <w:lang w:val="en-US"/>
        </w:rPr>
      </w:pPr>
      <w:r>
        <w:rPr>
          <w:rFonts w:eastAsia="宋体"/>
          <w:lang w:val="en-US"/>
        </w:rPr>
        <w:t xml:space="preserve">Possible complaints in connection with the certification process will be handled in accordance with Quality Austria internal procedure. </w:t>
      </w:r>
    </w:p>
    <w:p w14:paraId="15E6DE27">
      <w:pPr>
        <w:pStyle w:val="41"/>
        <w:suppressAutoHyphens/>
        <w:rPr>
          <w:rFonts w:eastAsia="宋体"/>
          <w:lang w:val="en-US"/>
        </w:rPr>
      </w:pPr>
      <w:r>
        <w:rPr>
          <w:rFonts w:hint="eastAsia" w:eastAsia="宋体"/>
          <w:lang w:val="en-US"/>
        </w:rPr>
        <w:t>与认证过程相关的任何投诉都将依照</w:t>
      </w:r>
      <w:r>
        <w:rPr>
          <w:rFonts w:eastAsia="宋体"/>
          <w:lang w:val="en-US"/>
        </w:rPr>
        <w:t>Quality Austria</w:t>
      </w:r>
      <w:r>
        <w:rPr>
          <w:rFonts w:hint="eastAsia" w:eastAsia="宋体"/>
          <w:lang w:val="en-US" w:eastAsia="zh-CN"/>
        </w:rPr>
        <w:t>的</w:t>
      </w:r>
      <w:r>
        <w:rPr>
          <w:rFonts w:hint="eastAsia" w:eastAsia="宋体"/>
          <w:lang w:val="en-US"/>
        </w:rPr>
        <w:t>内部程序处理</w:t>
      </w:r>
    </w:p>
    <w:p w14:paraId="54E54CEB">
      <w:pPr>
        <w:pStyle w:val="41"/>
        <w:suppressAutoHyphens/>
        <w:rPr>
          <w:rFonts w:eastAsia="宋体"/>
          <w:lang w:val="en-US"/>
        </w:rPr>
      </w:pPr>
      <w:r>
        <w:rPr>
          <w:rFonts w:eastAsia="宋体"/>
          <w:lang w:val="en-US"/>
        </w:rPr>
        <w:t xml:space="preserve">Complaints and appeals can be sent to Quality Austria CSC </w:t>
      </w:r>
      <w:r>
        <w:rPr>
          <w:rFonts w:eastAsia="宋体"/>
          <w:lang w:val="en-US"/>
        </w:rPr>
        <w:br w:type="textWrapping"/>
      </w:r>
      <w:r>
        <w:rPr>
          <w:rFonts w:eastAsia="宋体"/>
          <w:lang w:val="en-US"/>
        </w:rPr>
        <w:t>(</w:t>
      </w:r>
      <w:r>
        <w:fldChar w:fldCharType="begin"/>
      </w:r>
      <w:r>
        <w:instrText xml:space="preserve"> HYPERLINK "mailto:office@qualityaustria.com" </w:instrText>
      </w:r>
      <w:r>
        <w:fldChar w:fldCharType="separate"/>
      </w:r>
      <w:r>
        <w:rPr>
          <w:rStyle w:val="34"/>
          <w:rFonts w:eastAsia="宋体"/>
          <w:lang w:val="en-US"/>
        </w:rPr>
        <w:t>office@qualityaustria.com</w:t>
      </w:r>
      <w:r>
        <w:rPr>
          <w:rStyle w:val="34"/>
          <w:rFonts w:eastAsia="宋体"/>
          <w:lang w:val="en-US"/>
        </w:rPr>
        <w:fldChar w:fldCharType="end"/>
      </w:r>
      <w:r>
        <w:rPr>
          <w:rFonts w:eastAsia="宋体"/>
          <w:lang w:val="en-US"/>
        </w:rPr>
        <w:t xml:space="preserve">) or placed on Quality Austria’s website </w:t>
      </w:r>
      <w:r>
        <w:rPr>
          <w:rFonts w:eastAsia="宋体"/>
          <w:lang w:val="en-US"/>
        </w:rPr>
        <w:br w:type="textWrapping"/>
      </w:r>
      <w:r>
        <w:rPr>
          <w:rFonts w:eastAsia="宋体"/>
          <w:lang w:val="en-US"/>
        </w:rPr>
        <w:t>(</w:t>
      </w:r>
      <w:r>
        <w:fldChar w:fldCharType="begin"/>
      </w:r>
      <w:r>
        <w:instrText xml:space="preserve"> HYPERLINK "http://www.qualityaustria.com" </w:instrText>
      </w:r>
      <w:r>
        <w:fldChar w:fldCharType="separate"/>
      </w:r>
      <w:r>
        <w:rPr>
          <w:rStyle w:val="34"/>
          <w:rFonts w:eastAsia="宋体"/>
          <w:lang w:val="en-US"/>
        </w:rPr>
        <w:t>www.qualityaustria.com</w:t>
      </w:r>
      <w:r>
        <w:rPr>
          <w:rStyle w:val="34"/>
          <w:rFonts w:eastAsia="宋体"/>
          <w:lang w:val="en-US"/>
        </w:rPr>
        <w:fldChar w:fldCharType="end"/>
      </w:r>
      <w:r>
        <w:rPr>
          <w:rFonts w:eastAsia="宋体"/>
          <w:lang w:val="en-US"/>
        </w:rPr>
        <w:t>). Quality Austria will forward any issues to the responsible person and will take appropriate actions.</w:t>
      </w:r>
    </w:p>
    <w:p w14:paraId="7BC4A989">
      <w:pPr>
        <w:pStyle w:val="41"/>
        <w:suppressAutoHyphens/>
        <w:rPr>
          <w:rFonts w:eastAsia="宋体"/>
          <w:lang w:val="en-US"/>
        </w:rPr>
      </w:pPr>
      <w:r>
        <w:rPr>
          <w:rFonts w:eastAsia="宋体"/>
          <w:lang w:val="en-US"/>
        </w:rPr>
        <w:t>客户可通过Quality Austria</w:t>
      </w:r>
      <w:r>
        <w:rPr>
          <w:rFonts w:hint="eastAsia" w:eastAsia="宋体"/>
          <w:lang w:val="en-US" w:eastAsia="zh-CN"/>
        </w:rPr>
        <w:t>的</w:t>
      </w:r>
      <w:r>
        <w:rPr>
          <w:rFonts w:eastAsia="宋体"/>
          <w:lang w:val="en-US"/>
        </w:rPr>
        <w:t>客户服务中心（邮箱：office@qualityaustria.com）或其官方网站（</w:t>
      </w:r>
      <w:r>
        <w:fldChar w:fldCharType="begin"/>
      </w:r>
      <w:r>
        <w:instrText xml:space="preserve">HYPERLINK "https://www.qualityaustria.com/" \t "https://www.doubao.com/chat/_blank"</w:instrText>
      </w:r>
      <w:r>
        <w:fldChar w:fldCharType="separate"/>
      </w:r>
      <w:r>
        <w:rPr>
          <w:rFonts w:eastAsia="宋体"/>
          <w:lang w:val="en-US"/>
        </w:rPr>
        <w:t>www.qualityaustria.com</w:t>
      </w:r>
      <w:r>
        <w:fldChar w:fldCharType="end"/>
      </w:r>
      <w:r>
        <w:rPr>
          <w:rFonts w:eastAsia="宋体"/>
          <w:lang w:val="en-US"/>
        </w:rPr>
        <w:t>）提交投诉及申诉。Quality Austria将把相关问题转交负责人员，并采取适当措施处理</w:t>
      </w:r>
    </w:p>
    <w:p w14:paraId="42A8E8A0">
      <w:pPr>
        <w:pStyle w:val="78"/>
        <w:pBdr>
          <w:bottom w:val="single" w:color="C00000" w:sz="6" w:space="1"/>
        </w:pBdr>
        <w:suppressAutoHyphens/>
        <w:spacing w:before="220"/>
        <w:ind w:firstLine="0"/>
        <w:rPr>
          <w:rFonts w:eastAsia="宋体"/>
          <w:lang w:val="en-US" w:eastAsia="zh-CN"/>
        </w:rPr>
      </w:pPr>
      <w:r>
        <w:rPr>
          <w:rFonts w:eastAsia="宋体"/>
          <w:lang w:val="en-US"/>
        </w:rPr>
        <w:t>FINAL PROVISIONS</w:t>
      </w:r>
      <w:r>
        <w:rPr>
          <w:rFonts w:hint="eastAsia" w:eastAsia="宋体"/>
          <w:lang w:val="en-US" w:eastAsia="zh-CN"/>
        </w:rPr>
        <w:t>最终条款</w:t>
      </w:r>
    </w:p>
    <w:p w14:paraId="64F125B4">
      <w:pPr>
        <w:suppressAutoHyphens/>
        <w:rPr>
          <w:rFonts w:eastAsia="宋体"/>
          <w:sz w:val="16"/>
          <w:szCs w:val="16"/>
        </w:rPr>
      </w:pPr>
    </w:p>
    <w:p w14:paraId="12405398">
      <w:pPr>
        <w:pStyle w:val="41"/>
        <w:suppressAutoHyphens/>
        <w:rPr>
          <w:rFonts w:eastAsia="宋体"/>
          <w:lang w:val="en-US"/>
        </w:rPr>
      </w:pPr>
      <w:r>
        <w:rPr>
          <w:rFonts w:eastAsia="宋体"/>
          <w:lang w:val="en-US"/>
        </w:rPr>
        <w:t>An issue or nonconformance that may affect the integrity of the certification may be cause for application cancellation, or certificate suspension or withdrawal.</w:t>
      </w:r>
    </w:p>
    <w:p w14:paraId="48D3A298">
      <w:pPr>
        <w:pStyle w:val="41"/>
        <w:suppressAutoHyphens/>
        <w:rPr>
          <w:rFonts w:eastAsia="宋体"/>
          <w:lang w:val="en-US"/>
        </w:rPr>
      </w:pPr>
      <w:r>
        <w:rPr>
          <w:rFonts w:eastAsia="宋体"/>
          <w:lang w:val="en-US"/>
        </w:rPr>
        <w:t>任何可能影响认证完整性的问题或不符合项，均可能导致申请撤销、证书暂停或撤销</w:t>
      </w:r>
    </w:p>
    <w:p w14:paraId="7A1179C8">
      <w:pPr>
        <w:pStyle w:val="41"/>
        <w:suppressAutoHyphens/>
        <w:rPr>
          <w:rFonts w:eastAsia="宋体"/>
          <w:lang w:val="en-US"/>
        </w:rPr>
      </w:pPr>
      <w:r>
        <w:rPr>
          <w:rFonts w:eastAsia="宋体"/>
          <w:lang w:val="en-US"/>
        </w:rPr>
        <w:t>Nonconformity in the requirements set in this contract may lead in consequences such as withdrawal of certification.</w:t>
      </w:r>
    </w:p>
    <w:p w14:paraId="0B79E253">
      <w:pPr>
        <w:pStyle w:val="41"/>
        <w:suppressAutoHyphens/>
        <w:rPr>
          <w:rFonts w:eastAsia="宋体"/>
          <w:lang w:val="en-US"/>
        </w:rPr>
      </w:pPr>
      <w:r>
        <w:rPr>
          <w:rFonts w:eastAsia="宋体"/>
          <w:lang w:val="en-US"/>
        </w:rPr>
        <w:t>违反本合同约定要求的，可能导致认证撤销等后果</w:t>
      </w:r>
    </w:p>
    <w:p w14:paraId="5DEC3695">
      <w:pPr>
        <w:pStyle w:val="41"/>
        <w:suppressAutoHyphens/>
        <w:rPr>
          <w:rFonts w:eastAsia="宋体"/>
          <w:lang w:val="en-US"/>
        </w:rPr>
      </w:pPr>
      <w:r>
        <w:rPr>
          <w:rFonts w:eastAsia="宋体"/>
          <w:lang w:val="en-US"/>
        </w:rPr>
        <w:t xml:space="preserve">All disputes arising from or in connection with this contract shall exclusively be </w:t>
      </w:r>
      <w:r>
        <w:rPr>
          <w:rFonts w:eastAsia="宋体"/>
          <w:lang w:val="en-US"/>
        </w:rPr>
        <w:br w:type="textWrapping"/>
      </w:r>
      <w:r>
        <w:rPr>
          <w:rFonts w:eastAsia="宋体"/>
          <w:lang w:val="en-US"/>
        </w:rPr>
        <w:t xml:space="preserve">referred to the competent courts in the first district of Vienna. </w:t>
      </w:r>
    </w:p>
    <w:p w14:paraId="49F6E751">
      <w:pPr>
        <w:pStyle w:val="41"/>
        <w:suppressAutoHyphens/>
        <w:rPr>
          <w:rFonts w:eastAsia="宋体"/>
          <w:lang w:val="en-US"/>
        </w:rPr>
      </w:pPr>
      <w:r>
        <w:rPr>
          <w:rFonts w:eastAsia="宋体"/>
          <w:lang w:val="en-US"/>
        </w:rPr>
        <w:t>因本合同引起或与本合同相关的所有争议，均应提交维也纳第一区有管辖权的法院专属管辖</w:t>
      </w:r>
    </w:p>
    <w:p w14:paraId="2014EB90">
      <w:pPr>
        <w:pStyle w:val="41"/>
        <w:suppressAutoHyphens/>
        <w:rPr>
          <w:rFonts w:eastAsia="宋体"/>
          <w:lang w:val="en-US"/>
        </w:rPr>
      </w:pPr>
      <w:r>
        <w:rPr>
          <w:rFonts w:eastAsia="宋体"/>
          <w:lang w:val="en-US"/>
        </w:rPr>
        <w:t>The contract shall be governed by and construed in accordance with Austrian law, without giving effect to its conflict of law rules and the UN Sales Convention.</w:t>
      </w:r>
    </w:p>
    <w:p w14:paraId="5D9DC4AF">
      <w:pPr>
        <w:pStyle w:val="41"/>
        <w:suppressAutoHyphens/>
        <w:rPr>
          <w:rFonts w:eastAsia="宋体"/>
          <w:lang w:val="en-US"/>
        </w:rPr>
      </w:pPr>
      <w:r>
        <w:rPr>
          <w:rFonts w:hint="eastAsia" w:ascii="Segoe UI" w:hAnsi="Segoe UI" w:eastAsia="Segoe UI" w:cs="Segoe UI"/>
          <w:color w:val="2A2B2E"/>
          <w:sz w:val="21"/>
          <w:szCs w:val="21"/>
          <w:shd w:val="clear" w:color="auto" w:fill="FFFFFF"/>
        </w:rPr>
        <w:t>本合同受奥地利法律管辖并依其解释，但不适用其冲突法规则和《联合国国际货物销售合同公约》</w:t>
      </w:r>
    </w:p>
    <w:p w14:paraId="088F5175">
      <w:pPr>
        <w:suppressAutoHyphens/>
        <w:rPr>
          <w:rFonts w:eastAsia="宋体"/>
          <w:sz w:val="16"/>
          <w:szCs w:val="16"/>
          <w:lang w:eastAsia="zh-CN"/>
        </w:rPr>
      </w:pPr>
    </w:p>
    <w:p w14:paraId="7D34ADD9">
      <w:pPr>
        <w:suppressAutoHyphens/>
        <w:rPr>
          <w:rFonts w:eastAsia="宋体"/>
          <w:sz w:val="16"/>
          <w:szCs w:val="16"/>
          <w:lang w:eastAsia="zh-CN"/>
        </w:rPr>
      </w:pPr>
    </w:p>
    <w:tbl>
      <w:tblPr>
        <w:tblStyle w:val="29"/>
        <w:tblW w:w="0" w:type="auto"/>
        <w:tblInd w:w="0" w:type="dxa"/>
        <w:tblBorders>
          <w:top w:val="single" w:color="BEBEBE" w:themeColor="background1" w:themeShade="BF" w:sz="12" w:space="0"/>
          <w:left w:val="single" w:color="BEBEBE" w:themeColor="background1" w:themeShade="BF" w:sz="12" w:space="0"/>
          <w:bottom w:val="single" w:color="BEBEBE" w:themeColor="background1" w:themeShade="BF" w:sz="12" w:space="0"/>
          <w:right w:val="single" w:color="BEBEBE" w:themeColor="background1" w:themeShade="BF" w:sz="12" w:space="0"/>
          <w:insideH w:val="single" w:color="auto" w:sz="4" w:space="0"/>
          <w:insideV w:val="single" w:color="auto" w:sz="4" w:space="0"/>
        </w:tblBorders>
        <w:tblLayout w:type="autofit"/>
        <w:tblCellMar>
          <w:top w:w="0" w:type="dxa"/>
          <w:left w:w="108" w:type="dxa"/>
          <w:bottom w:w="0" w:type="dxa"/>
          <w:right w:w="108" w:type="dxa"/>
        </w:tblCellMar>
      </w:tblPr>
      <w:tblGrid>
        <w:gridCol w:w="1828"/>
        <w:gridCol w:w="4111"/>
        <w:gridCol w:w="3618"/>
      </w:tblGrid>
      <w:tr w14:paraId="7F146BEA">
        <w:tblPrEx>
          <w:tblBorders>
            <w:top w:val="single" w:color="BEBEBE" w:themeColor="background1" w:themeShade="BF" w:sz="12" w:space="0"/>
            <w:left w:val="single" w:color="BEBEBE" w:themeColor="background1" w:themeShade="BF" w:sz="12" w:space="0"/>
            <w:bottom w:val="single" w:color="BEBEBE" w:themeColor="background1" w:themeShade="BF" w:sz="12" w:space="0"/>
            <w:right w:val="single" w:color="BEBEBE" w:themeColor="background1" w:themeShade="BF" w:sz="12"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9557" w:type="dxa"/>
            <w:gridSpan w:val="3"/>
            <w:shd w:val="clear" w:color="auto" w:fill="F1F1F1" w:themeFill="background1" w:themeFillShade="F2"/>
          </w:tcPr>
          <w:p w14:paraId="68FE4E72">
            <w:pPr>
              <w:suppressAutoHyphens/>
              <w:rPr>
                <w:rFonts w:eastAsia="宋体"/>
                <w:b/>
                <w:bCs/>
                <w:sz w:val="16"/>
                <w:szCs w:val="16"/>
                <w:lang w:eastAsia="zh-CN"/>
              </w:rPr>
            </w:pPr>
            <w:r>
              <w:rPr>
                <w:rFonts w:eastAsia="宋体"/>
                <w:b/>
                <w:bCs/>
                <w:sz w:val="16"/>
                <w:szCs w:val="16"/>
              </w:rPr>
              <w:t>Corporate signature of client</w:t>
            </w:r>
            <w:r>
              <w:rPr>
                <w:rFonts w:hint="eastAsia" w:eastAsia="宋体"/>
                <w:b/>
                <w:bCs/>
                <w:sz w:val="16"/>
                <w:szCs w:val="16"/>
              </w:rPr>
              <w:t>客户公司签</w:t>
            </w:r>
            <w:r>
              <w:rPr>
                <w:rFonts w:hint="eastAsia" w:eastAsia="宋体"/>
                <w:b/>
                <w:bCs/>
                <w:sz w:val="16"/>
                <w:szCs w:val="16"/>
                <w:lang w:eastAsia="zh-CN"/>
              </w:rPr>
              <w:t>章</w:t>
            </w:r>
          </w:p>
        </w:tc>
      </w:tr>
      <w:tr w14:paraId="28FD3D58">
        <w:tblPrEx>
          <w:tblBorders>
            <w:top w:val="single" w:color="BEBEBE" w:themeColor="background1" w:themeShade="BF" w:sz="12" w:space="0"/>
            <w:left w:val="single" w:color="BEBEBE" w:themeColor="background1" w:themeShade="BF" w:sz="12" w:space="0"/>
            <w:bottom w:val="single" w:color="BEBEBE" w:themeColor="background1" w:themeShade="BF" w:sz="12" w:space="0"/>
            <w:right w:val="single" w:color="BEBEBE" w:themeColor="background1" w:themeShade="BF" w:sz="12"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828" w:type="dxa"/>
          </w:tcPr>
          <w:p w14:paraId="4D7CDD8D">
            <w:pPr>
              <w:suppressAutoHyphens/>
              <w:rPr>
                <w:rFonts w:eastAsia="宋体"/>
                <w:sz w:val="16"/>
                <w:szCs w:val="16"/>
              </w:rPr>
            </w:pPr>
            <w:r>
              <w:rPr>
                <w:rFonts w:eastAsia="宋体"/>
                <w:sz w:val="16"/>
                <w:szCs w:val="16"/>
              </w:rPr>
              <w:t>Date</w:t>
            </w:r>
            <w:r>
              <w:rPr>
                <w:rFonts w:hint="eastAsia" w:eastAsia="宋体"/>
                <w:sz w:val="16"/>
                <w:szCs w:val="16"/>
                <w:lang w:eastAsia="zh-CN"/>
              </w:rPr>
              <w:t>日期</w:t>
            </w:r>
            <w:r>
              <w:rPr>
                <w:rFonts w:eastAsia="宋体"/>
                <w:sz w:val="16"/>
                <w:szCs w:val="16"/>
              </w:rPr>
              <w:t xml:space="preserve">: </w:t>
            </w:r>
          </w:p>
          <w:p w14:paraId="4A4C59A4">
            <w:pPr>
              <w:suppressAutoHyphens/>
              <w:rPr>
                <w:rFonts w:eastAsia="宋体"/>
                <w:sz w:val="16"/>
                <w:szCs w:val="16"/>
              </w:rPr>
            </w:pPr>
            <w:r>
              <w:rPr>
                <w:rFonts w:eastAsia="宋体"/>
                <w:sz w:val="16"/>
                <w:szCs w:val="16"/>
              </w:rPr>
              <w:fldChar w:fldCharType="begin">
                <w:ffData>
                  <w:name w:val="Text4"/>
                  <w:enabled/>
                  <w:calcOnExit w:val="0"/>
                  <w:textInput/>
                </w:ffData>
              </w:fldChar>
            </w:r>
            <w:bookmarkStart w:id="2" w:name="Text4"/>
            <w:r>
              <w:rPr>
                <w:rFonts w:eastAsia="宋体"/>
                <w:sz w:val="16"/>
                <w:szCs w:val="16"/>
              </w:rPr>
              <w:instrText xml:space="preserve">FORMTEXT</w:instrText>
            </w:r>
            <w:r>
              <w:rPr>
                <w:rFonts w:eastAsia="宋体"/>
                <w:sz w:val="16"/>
                <w:szCs w:val="16"/>
              </w:rPr>
              <w:fldChar w:fldCharType="separate"/>
            </w:r>
            <w:r>
              <w:rPr>
                <w:rFonts w:hint="default" w:eastAsia="宋体"/>
                <w:sz w:val="16"/>
                <w:szCs w:val="16"/>
                <w:lang w:val="en-US"/>
              </w:rPr>
              <w:t>     </w:t>
            </w:r>
            <w:r>
              <w:rPr>
                <w:rFonts w:eastAsia="宋体"/>
                <w:sz w:val="16"/>
                <w:szCs w:val="16"/>
              </w:rPr>
              <w:fldChar w:fldCharType="end"/>
            </w:r>
            <w:bookmarkEnd w:id="2"/>
          </w:p>
        </w:tc>
        <w:tc>
          <w:tcPr>
            <w:tcW w:w="4111" w:type="dxa"/>
          </w:tcPr>
          <w:p w14:paraId="6E17C63C">
            <w:pPr>
              <w:suppressAutoHyphens/>
              <w:rPr>
                <w:sz w:val="16"/>
                <w:szCs w:val="16"/>
              </w:rPr>
            </w:pPr>
            <w:r>
              <w:rPr>
                <w:rFonts w:eastAsia="宋体"/>
                <w:sz w:val="16"/>
                <w:szCs w:val="16"/>
              </w:rPr>
              <w:t>Name</w:t>
            </w:r>
            <w:r>
              <w:rPr>
                <w:rFonts w:hint="eastAsia" w:eastAsia="宋体"/>
                <w:sz w:val="16"/>
                <w:szCs w:val="16"/>
                <w:lang w:eastAsia="zh-CN"/>
              </w:rPr>
              <w:t>姓名</w:t>
            </w:r>
            <w:r>
              <w:rPr>
                <w:rFonts w:eastAsia="宋体"/>
                <w:sz w:val="16"/>
                <w:szCs w:val="16"/>
              </w:rPr>
              <w:t>, function</w:t>
            </w:r>
            <w:r>
              <w:rPr>
                <w:rFonts w:hint="eastAsia" w:eastAsia="宋体"/>
                <w:sz w:val="16"/>
                <w:szCs w:val="16"/>
                <w:lang w:eastAsia="zh-CN"/>
              </w:rPr>
              <w:t>职务</w:t>
            </w:r>
            <w:r>
              <w:rPr>
                <w:rFonts w:eastAsia="宋体"/>
                <w:sz w:val="16"/>
                <w:szCs w:val="16"/>
              </w:rPr>
              <w:t>:</w:t>
            </w:r>
            <w:r>
              <w:rPr>
                <w:sz w:val="16"/>
                <w:szCs w:val="16"/>
              </w:rPr>
              <w:t xml:space="preserve"> </w:t>
            </w:r>
          </w:p>
          <w:p w14:paraId="211CEDF3">
            <w:pPr>
              <w:suppressAutoHyphens/>
              <w:rPr>
                <w:sz w:val="16"/>
                <w:szCs w:val="16"/>
              </w:rPr>
            </w:pPr>
            <w:bookmarkStart w:id="3" w:name="Text5"/>
            <w:r>
              <w:rPr>
                <w:rFonts w:hint="default" w:ascii="Verdana" w:hAnsi="Verdana" w:eastAsia="Times New Roman" w:cs="Times New Roman"/>
                <w:sz w:val="16"/>
                <w:szCs w:val="16"/>
                <w:lang w:val="en-US" w:eastAsia="en-US" w:bidi="ar-SA"/>
              </w:rPr>
              <w:fldChar w:fldCharType="begin">
                <w:ffData>
                  <w:name w:val="Text5"/>
                  <w:enabled/>
                  <w:calcOnExit w:val="0"/>
                  <w:textInput/>
                </w:ffData>
              </w:fldChar>
            </w:r>
            <w:r>
              <w:rPr>
                <w:rFonts w:hint="default" w:ascii="Verdana" w:hAnsi="Verdana" w:eastAsia="Times New Roman" w:cs="Times New Roman"/>
                <w:sz w:val="16"/>
                <w:szCs w:val="16"/>
                <w:lang w:val="en-US" w:eastAsia="en-US" w:bidi="ar-SA"/>
              </w:rPr>
              <w:instrText xml:space="preserve">FORMTEXT</w:instrText>
            </w:r>
            <w:r>
              <w:rPr>
                <w:rFonts w:hint="default" w:ascii="Verdana" w:hAnsi="Verdana" w:eastAsia="Times New Roman" w:cs="Times New Roman"/>
                <w:sz w:val="16"/>
                <w:szCs w:val="16"/>
                <w:lang w:val="en-US" w:eastAsia="en-US" w:bidi="ar-SA"/>
              </w:rPr>
              <w:fldChar w:fldCharType="separate"/>
            </w:r>
            <w:r>
              <w:rPr>
                <w:rFonts w:hint="default" w:ascii="Verdana" w:hAnsi="Verdana" w:eastAsia="Times New Roman" w:cs="Times New Roman"/>
                <w:sz w:val="16"/>
                <w:szCs w:val="16"/>
                <w:lang w:val="en-US" w:eastAsia="en-US" w:bidi="ar-SA"/>
              </w:rPr>
              <w:t>     </w:t>
            </w:r>
            <w:r>
              <w:rPr>
                <w:rFonts w:hint="default" w:ascii="Verdana" w:hAnsi="Verdana" w:eastAsia="Times New Roman" w:cs="Times New Roman"/>
                <w:sz w:val="16"/>
                <w:szCs w:val="16"/>
                <w:lang w:val="en-US" w:eastAsia="en-US" w:bidi="ar-SA"/>
              </w:rPr>
              <w:fldChar w:fldCharType="end"/>
            </w:r>
            <w:bookmarkEnd w:id="3"/>
          </w:p>
          <w:p w14:paraId="6DE14A62">
            <w:pPr>
              <w:suppressAutoHyphens/>
              <w:rPr>
                <w:sz w:val="16"/>
                <w:szCs w:val="16"/>
              </w:rPr>
            </w:pPr>
          </w:p>
          <w:p w14:paraId="76EF79E6">
            <w:pPr>
              <w:suppressAutoHyphens/>
              <w:rPr>
                <w:sz w:val="16"/>
                <w:szCs w:val="16"/>
              </w:rPr>
            </w:pPr>
          </w:p>
          <w:p w14:paraId="5C2466C3">
            <w:pPr>
              <w:suppressAutoHyphens/>
              <w:rPr>
                <w:sz w:val="16"/>
                <w:szCs w:val="16"/>
              </w:rPr>
            </w:pPr>
          </w:p>
          <w:p w14:paraId="7B872A91">
            <w:pPr>
              <w:suppressAutoHyphens/>
              <w:rPr>
                <w:sz w:val="16"/>
                <w:szCs w:val="16"/>
              </w:rPr>
            </w:pPr>
          </w:p>
          <w:p w14:paraId="0B78F3D1">
            <w:pPr>
              <w:suppressAutoHyphens/>
              <w:rPr>
                <w:sz w:val="16"/>
                <w:szCs w:val="16"/>
              </w:rPr>
            </w:pPr>
          </w:p>
          <w:p w14:paraId="3A2E4536">
            <w:pPr>
              <w:suppressAutoHyphens/>
              <w:rPr>
                <w:sz w:val="16"/>
                <w:szCs w:val="16"/>
              </w:rPr>
            </w:pPr>
          </w:p>
        </w:tc>
        <w:tc>
          <w:tcPr>
            <w:tcW w:w="3618" w:type="dxa"/>
          </w:tcPr>
          <w:p w14:paraId="1C21E982">
            <w:pPr>
              <w:suppressAutoHyphens/>
              <w:rPr>
                <w:rFonts w:eastAsia="宋体"/>
                <w:sz w:val="16"/>
                <w:szCs w:val="16"/>
                <w:lang w:eastAsia="zh-CN"/>
              </w:rPr>
            </w:pPr>
            <w:r>
              <w:rPr>
                <w:rFonts w:eastAsia="宋体"/>
                <w:sz w:val="16"/>
                <w:szCs w:val="16"/>
              </w:rPr>
              <w:t>Signature</w:t>
            </w:r>
            <w:r>
              <w:rPr>
                <w:rFonts w:hint="eastAsia" w:eastAsia="宋体"/>
                <w:sz w:val="16"/>
                <w:szCs w:val="16"/>
                <w:lang w:eastAsia="zh-CN"/>
              </w:rPr>
              <w:t>签名</w:t>
            </w:r>
            <w:r>
              <w:rPr>
                <w:rFonts w:eastAsia="宋体"/>
                <w:sz w:val="16"/>
                <w:szCs w:val="16"/>
              </w:rPr>
              <w:t>, company stamp</w:t>
            </w:r>
            <w:r>
              <w:rPr>
                <w:rFonts w:hint="eastAsia" w:eastAsia="宋体"/>
                <w:sz w:val="16"/>
                <w:szCs w:val="16"/>
                <w:lang w:eastAsia="zh-CN"/>
              </w:rPr>
              <w:t>公司盖章</w:t>
            </w:r>
          </w:p>
          <w:p w14:paraId="5C07DF3D">
            <w:pPr>
              <w:suppressAutoHyphens/>
              <w:rPr>
                <w:rFonts w:eastAsia="宋体"/>
                <w:sz w:val="16"/>
                <w:szCs w:val="16"/>
              </w:rPr>
            </w:pPr>
          </w:p>
          <w:p w14:paraId="350C1E26">
            <w:pPr>
              <w:suppressAutoHyphens/>
              <w:rPr>
                <w:rFonts w:eastAsia="宋体"/>
                <w:sz w:val="16"/>
                <w:szCs w:val="16"/>
              </w:rPr>
            </w:pPr>
          </w:p>
          <w:p w14:paraId="2CED5C5E">
            <w:pPr>
              <w:suppressAutoHyphens/>
              <w:rPr>
                <w:rFonts w:eastAsia="宋体"/>
                <w:sz w:val="16"/>
                <w:szCs w:val="16"/>
              </w:rPr>
            </w:pPr>
          </w:p>
        </w:tc>
      </w:tr>
    </w:tbl>
    <w:p w14:paraId="16271F7B">
      <w:pPr>
        <w:suppressAutoHyphens/>
        <w:rPr>
          <w:rFonts w:eastAsia="宋体"/>
          <w:sz w:val="16"/>
          <w:szCs w:val="16"/>
        </w:rPr>
      </w:pPr>
    </w:p>
    <w:tbl>
      <w:tblPr>
        <w:tblStyle w:val="29"/>
        <w:tblW w:w="0" w:type="auto"/>
        <w:tblInd w:w="0" w:type="dxa"/>
        <w:tblBorders>
          <w:top w:val="single" w:color="BEBEBE" w:themeColor="background1" w:themeShade="BF" w:sz="12" w:space="0"/>
          <w:left w:val="single" w:color="BEBEBE" w:themeColor="background1" w:themeShade="BF" w:sz="12" w:space="0"/>
          <w:bottom w:val="single" w:color="BEBEBE" w:themeColor="background1" w:themeShade="BF" w:sz="12" w:space="0"/>
          <w:right w:val="single" w:color="BEBEBE" w:themeColor="background1" w:themeShade="BF" w:sz="12" w:space="0"/>
          <w:insideH w:val="single" w:color="auto" w:sz="4" w:space="0"/>
          <w:insideV w:val="single" w:color="auto" w:sz="4" w:space="0"/>
        </w:tblBorders>
        <w:tblLayout w:type="autofit"/>
        <w:tblCellMar>
          <w:top w:w="0" w:type="dxa"/>
          <w:left w:w="108" w:type="dxa"/>
          <w:bottom w:w="0" w:type="dxa"/>
          <w:right w:w="108" w:type="dxa"/>
        </w:tblCellMar>
      </w:tblPr>
      <w:tblGrid>
        <w:gridCol w:w="1828"/>
        <w:gridCol w:w="4111"/>
        <w:gridCol w:w="3618"/>
      </w:tblGrid>
      <w:tr w14:paraId="7B988C9B">
        <w:tblPrEx>
          <w:tblBorders>
            <w:top w:val="single" w:color="BEBEBE" w:themeColor="background1" w:themeShade="BF" w:sz="12" w:space="0"/>
            <w:left w:val="single" w:color="BEBEBE" w:themeColor="background1" w:themeShade="BF" w:sz="12" w:space="0"/>
            <w:bottom w:val="single" w:color="BEBEBE" w:themeColor="background1" w:themeShade="BF" w:sz="12" w:space="0"/>
            <w:right w:val="single" w:color="BEBEBE" w:themeColor="background1" w:themeShade="BF" w:sz="12"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9557" w:type="dxa"/>
            <w:gridSpan w:val="3"/>
            <w:shd w:val="clear" w:color="auto" w:fill="F1F1F1" w:themeFill="background1" w:themeFillShade="F2"/>
          </w:tcPr>
          <w:p w14:paraId="75EF623C">
            <w:pPr>
              <w:suppressAutoHyphens/>
              <w:rPr>
                <w:rFonts w:eastAsia="宋体"/>
                <w:b/>
                <w:bCs/>
                <w:sz w:val="16"/>
                <w:szCs w:val="16"/>
                <w:lang w:eastAsia="zh-CN"/>
              </w:rPr>
            </w:pPr>
            <w:r>
              <w:rPr>
                <w:rFonts w:eastAsia="宋体"/>
                <w:b/>
                <w:bCs/>
                <w:sz w:val="16"/>
                <w:szCs w:val="16"/>
              </w:rPr>
              <w:t>Signature Quality Austria</w:t>
            </w:r>
            <w:r>
              <w:rPr>
                <w:rFonts w:hint="eastAsia" w:eastAsia="宋体"/>
                <w:b/>
                <w:bCs/>
                <w:sz w:val="16"/>
                <w:szCs w:val="16"/>
                <w:lang w:eastAsia="zh-CN"/>
              </w:rPr>
              <w:t xml:space="preserve"> </w:t>
            </w:r>
            <w:r>
              <w:rPr>
                <w:rFonts w:eastAsia="宋体"/>
                <w:b/>
                <w:bCs/>
                <w:sz w:val="16"/>
                <w:szCs w:val="16"/>
              </w:rPr>
              <w:t>Quality Austria</w:t>
            </w:r>
            <w:r>
              <w:rPr>
                <w:rFonts w:hint="eastAsia" w:eastAsia="宋体"/>
                <w:b/>
                <w:bCs/>
                <w:sz w:val="16"/>
                <w:szCs w:val="16"/>
              </w:rPr>
              <w:t>签</w:t>
            </w:r>
            <w:r>
              <w:rPr>
                <w:rFonts w:hint="eastAsia" w:eastAsia="宋体"/>
                <w:b/>
                <w:bCs/>
                <w:sz w:val="16"/>
                <w:szCs w:val="16"/>
                <w:lang w:eastAsia="zh-CN"/>
              </w:rPr>
              <w:t>章</w:t>
            </w:r>
          </w:p>
        </w:tc>
      </w:tr>
      <w:tr w14:paraId="53BC04B8">
        <w:tblPrEx>
          <w:tblBorders>
            <w:top w:val="single" w:color="BEBEBE" w:themeColor="background1" w:themeShade="BF" w:sz="12" w:space="0"/>
            <w:left w:val="single" w:color="BEBEBE" w:themeColor="background1" w:themeShade="BF" w:sz="12" w:space="0"/>
            <w:bottom w:val="single" w:color="BEBEBE" w:themeColor="background1" w:themeShade="BF" w:sz="12" w:space="0"/>
            <w:right w:val="single" w:color="BEBEBE" w:themeColor="background1" w:themeShade="BF" w:sz="12"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828" w:type="dxa"/>
          </w:tcPr>
          <w:p w14:paraId="26571D68">
            <w:pPr>
              <w:suppressAutoHyphens/>
              <w:rPr>
                <w:rFonts w:eastAsia="宋体"/>
                <w:sz w:val="16"/>
                <w:szCs w:val="16"/>
              </w:rPr>
            </w:pPr>
            <w:r>
              <w:rPr>
                <w:rFonts w:eastAsia="宋体"/>
                <w:sz w:val="16"/>
                <w:szCs w:val="16"/>
              </w:rPr>
              <w:t>Date</w:t>
            </w:r>
            <w:r>
              <w:rPr>
                <w:rFonts w:hint="eastAsia" w:eastAsia="宋体"/>
                <w:sz w:val="16"/>
                <w:szCs w:val="16"/>
                <w:lang w:eastAsia="zh-CN"/>
              </w:rPr>
              <w:t>日期</w:t>
            </w:r>
            <w:r>
              <w:rPr>
                <w:rFonts w:eastAsia="宋体"/>
                <w:sz w:val="16"/>
                <w:szCs w:val="16"/>
              </w:rPr>
              <w:t xml:space="preserve">: </w:t>
            </w:r>
          </w:p>
          <w:p w14:paraId="770FE570">
            <w:pPr>
              <w:suppressAutoHyphens/>
              <w:rPr>
                <w:rFonts w:eastAsia="宋体"/>
                <w:sz w:val="16"/>
                <w:szCs w:val="16"/>
              </w:rPr>
            </w:pPr>
            <w:bookmarkStart w:id="4" w:name="Text6"/>
            <w:r>
              <w:rPr>
                <w:rFonts w:hint="default" w:ascii="Verdana" w:hAnsi="Verdana" w:eastAsia="Times New Roman" w:cs="Times New Roman"/>
                <w:sz w:val="16"/>
                <w:szCs w:val="16"/>
                <w:lang w:val="en-US" w:eastAsia="en-US" w:bidi="ar-SA"/>
              </w:rPr>
              <w:fldChar w:fldCharType="begin">
                <w:ffData>
                  <w:name w:val="Text6"/>
                  <w:enabled/>
                  <w:calcOnExit w:val="0"/>
                  <w:textInput/>
                </w:ffData>
              </w:fldChar>
            </w:r>
            <w:r>
              <w:rPr>
                <w:rFonts w:hint="default" w:ascii="Verdana" w:hAnsi="Verdana" w:eastAsia="Times New Roman" w:cs="Times New Roman"/>
                <w:sz w:val="16"/>
                <w:szCs w:val="16"/>
                <w:lang w:val="en-US" w:eastAsia="en-US" w:bidi="ar-SA"/>
              </w:rPr>
              <w:instrText xml:space="preserve">FORMTEXT</w:instrText>
            </w:r>
            <w:r>
              <w:rPr>
                <w:rFonts w:hint="default" w:ascii="Verdana" w:hAnsi="Verdana" w:eastAsia="Times New Roman" w:cs="Times New Roman"/>
                <w:sz w:val="16"/>
                <w:szCs w:val="16"/>
                <w:lang w:val="en-US" w:eastAsia="en-US" w:bidi="ar-SA"/>
              </w:rPr>
              <w:fldChar w:fldCharType="separate"/>
            </w:r>
            <w:r>
              <w:rPr>
                <w:rFonts w:hint="default" w:ascii="Verdana" w:hAnsi="Verdana" w:eastAsia="Times New Roman" w:cs="Times New Roman"/>
                <w:sz w:val="16"/>
                <w:szCs w:val="16"/>
                <w:lang w:val="en-US" w:eastAsia="en-US" w:bidi="ar-SA"/>
              </w:rPr>
              <w:t>     </w:t>
            </w:r>
            <w:r>
              <w:rPr>
                <w:rFonts w:hint="default" w:ascii="Verdana" w:hAnsi="Verdana" w:eastAsia="Times New Roman" w:cs="Times New Roman"/>
                <w:sz w:val="16"/>
                <w:szCs w:val="16"/>
                <w:lang w:val="en-US" w:eastAsia="en-US" w:bidi="ar-SA"/>
              </w:rPr>
              <w:fldChar w:fldCharType="end"/>
            </w:r>
            <w:bookmarkEnd w:id="4"/>
          </w:p>
        </w:tc>
        <w:tc>
          <w:tcPr>
            <w:tcW w:w="4111" w:type="dxa"/>
          </w:tcPr>
          <w:p w14:paraId="37E1DE8B">
            <w:pPr>
              <w:suppressAutoHyphens/>
              <w:rPr>
                <w:rFonts w:eastAsia="宋体"/>
                <w:sz w:val="16"/>
                <w:szCs w:val="16"/>
                <w:lang w:eastAsia="zh-CN"/>
              </w:rPr>
            </w:pPr>
            <w:r>
              <w:rPr>
                <w:sz w:val="16"/>
                <w:szCs w:val="16"/>
              </w:rPr>
              <w:t>Name</w:t>
            </w:r>
            <w:r>
              <w:rPr>
                <w:rFonts w:hint="eastAsia" w:eastAsia="宋体"/>
                <w:sz w:val="16"/>
                <w:szCs w:val="16"/>
                <w:lang w:eastAsia="zh-CN"/>
              </w:rPr>
              <w:t>姓名</w:t>
            </w:r>
            <w:r>
              <w:rPr>
                <w:sz w:val="16"/>
                <w:szCs w:val="16"/>
              </w:rPr>
              <w:t>, function</w:t>
            </w:r>
            <w:r>
              <w:rPr>
                <w:rFonts w:hint="eastAsia" w:eastAsia="宋体"/>
                <w:sz w:val="16"/>
                <w:szCs w:val="16"/>
                <w:lang w:eastAsia="zh-CN"/>
              </w:rPr>
              <w:t>职务：</w:t>
            </w:r>
          </w:p>
          <w:p w14:paraId="6F2340DA">
            <w:pPr>
              <w:suppressAutoHyphens/>
              <w:rPr>
                <w:sz w:val="16"/>
                <w:szCs w:val="16"/>
              </w:rPr>
            </w:pPr>
          </w:p>
          <w:p w14:paraId="367BDA8A">
            <w:pPr>
              <w:suppressAutoHyphens/>
              <w:rPr>
                <w:sz w:val="16"/>
                <w:szCs w:val="16"/>
              </w:rPr>
            </w:pPr>
          </w:p>
          <w:p w14:paraId="487BB6F9">
            <w:pPr>
              <w:suppressAutoHyphens/>
              <w:rPr>
                <w:sz w:val="16"/>
                <w:szCs w:val="16"/>
              </w:rPr>
            </w:pPr>
          </w:p>
          <w:p w14:paraId="4D275C4D">
            <w:pPr>
              <w:suppressAutoHyphens/>
              <w:rPr>
                <w:rFonts w:eastAsia="宋体"/>
                <w:sz w:val="16"/>
                <w:szCs w:val="16"/>
              </w:rPr>
            </w:pPr>
            <w:r>
              <w:rPr>
                <w:rFonts w:eastAsia="宋体"/>
                <w:sz w:val="16"/>
                <w:szCs w:val="16"/>
              </w:rPr>
              <w:t xml:space="preserve">Product Expert Aviation, Space &amp; Defense </w:t>
            </w:r>
            <w:r>
              <w:rPr>
                <w:rFonts w:eastAsia="宋体"/>
                <w:sz w:val="16"/>
                <w:szCs w:val="16"/>
              </w:rPr>
              <w:br w:type="textWrapping"/>
            </w:r>
            <w:r>
              <w:rPr>
                <w:rFonts w:eastAsia="宋体"/>
                <w:sz w:val="16"/>
                <w:szCs w:val="16"/>
              </w:rPr>
              <w:t>Industries</w:t>
            </w:r>
          </w:p>
          <w:p w14:paraId="7A0CDABF">
            <w:pPr>
              <w:suppressAutoHyphens/>
              <w:rPr>
                <w:rFonts w:eastAsia="宋体"/>
                <w:sz w:val="16"/>
                <w:szCs w:val="16"/>
              </w:rPr>
            </w:pPr>
            <w:r>
              <w:rPr>
                <w:rFonts w:hint="eastAsia" w:eastAsia="宋体"/>
                <w:sz w:val="16"/>
                <w:szCs w:val="16"/>
              </w:rPr>
              <w:t>航空、航天与国防工业产品专家</w:t>
            </w:r>
          </w:p>
          <w:p w14:paraId="5A30DD5A">
            <w:pPr>
              <w:suppressAutoHyphens/>
              <w:rPr>
                <w:rFonts w:eastAsia="宋体"/>
                <w:sz w:val="16"/>
                <w:szCs w:val="16"/>
              </w:rPr>
            </w:pPr>
          </w:p>
          <w:p w14:paraId="1FA8AB3A">
            <w:pPr>
              <w:suppressAutoHyphens/>
              <w:rPr>
                <w:rFonts w:eastAsia="宋体"/>
                <w:sz w:val="16"/>
                <w:szCs w:val="16"/>
              </w:rPr>
            </w:pPr>
          </w:p>
          <w:p w14:paraId="24BD8845">
            <w:pPr>
              <w:suppressAutoHyphens/>
              <w:rPr>
                <w:rFonts w:eastAsia="宋体"/>
                <w:sz w:val="16"/>
                <w:szCs w:val="16"/>
              </w:rPr>
            </w:pPr>
          </w:p>
        </w:tc>
        <w:tc>
          <w:tcPr>
            <w:tcW w:w="3618" w:type="dxa"/>
          </w:tcPr>
          <w:p w14:paraId="16217B63">
            <w:pPr>
              <w:suppressAutoHyphens/>
              <w:rPr>
                <w:rFonts w:eastAsia="宋体"/>
                <w:sz w:val="16"/>
                <w:szCs w:val="16"/>
                <w:lang w:eastAsia="zh-CN"/>
              </w:rPr>
            </w:pPr>
            <w:r>
              <w:rPr>
                <w:rFonts w:eastAsia="宋体"/>
                <w:sz w:val="16"/>
                <w:szCs w:val="16"/>
              </w:rPr>
              <w:t>Signature</w:t>
            </w:r>
            <w:r>
              <w:rPr>
                <w:rFonts w:hint="eastAsia" w:eastAsia="宋体"/>
                <w:sz w:val="16"/>
                <w:szCs w:val="16"/>
                <w:lang w:eastAsia="zh-CN"/>
              </w:rPr>
              <w:t>签名</w:t>
            </w:r>
          </w:p>
          <w:p w14:paraId="1D8740E9">
            <w:pPr>
              <w:suppressAutoHyphens/>
              <w:rPr>
                <w:rFonts w:eastAsia="宋体"/>
                <w:sz w:val="16"/>
                <w:szCs w:val="16"/>
              </w:rPr>
            </w:pPr>
          </w:p>
          <w:p w14:paraId="68D1EA1B">
            <w:pPr>
              <w:suppressAutoHyphens/>
              <w:rPr>
                <w:rFonts w:eastAsia="宋体"/>
                <w:sz w:val="16"/>
                <w:szCs w:val="16"/>
              </w:rPr>
            </w:pPr>
          </w:p>
          <w:p w14:paraId="580F083E">
            <w:pPr>
              <w:suppressAutoHyphens/>
              <w:rPr>
                <w:rFonts w:eastAsia="宋体"/>
                <w:sz w:val="16"/>
                <w:szCs w:val="16"/>
              </w:rPr>
            </w:pPr>
          </w:p>
        </w:tc>
      </w:tr>
    </w:tbl>
    <w:p w14:paraId="6F0DEAA5">
      <w:pPr>
        <w:suppressAutoHyphens/>
        <w:rPr>
          <w:rFonts w:eastAsia="宋体"/>
          <w:b/>
          <w:bCs/>
          <w:caps/>
          <w:color w:val="DB071F"/>
          <w:w w:val="105"/>
          <w:sz w:val="18"/>
          <w:szCs w:val="18"/>
          <w:lang w:eastAsia="de-AT"/>
        </w:rPr>
      </w:pPr>
    </w:p>
    <w:sectPr>
      <w:headerReference r:id="rId4" w:type="first"/>
      <w:footerReference r:id="rId6" w:type="first"/>
      <w:headerReference r:id="rId3" w:type="default"/>
      <w:footerReference r:id="rId5" w:type="default"/>
      <w:pgSz w:w="11906" w:h="16838"/>
      <w:pgMar w:top="2127" w:right="1185" w:bottom="993"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8"/>
      <w:tblpPr w:leftFromText="142" w:rightFromText="142" w:vertAnchor="text" w:horzAnchor="margin" w:tblpXSpec="center" w:tblpY="1"/>
      <w:tblOverlap w:val="never"/>
      <w:tblW w:w="10219" w:type="dxa"/>
      <w:tblInd w:w="0" w:type="dxa"/>
      <w:tblLayout w:type="fixed"/>
      <w:tblCellMar>
        <w:top w:w="0" w:type="dxa"/>
        <w:left w:w="70" w:type="dxa"/>
        <w:bottom w:w="0" w:type="dxa"/>
        <w:right w:w="70" w:type="dxa"/>
      </w:tblCellMar>
    </w:tblPr>
    <w:tblGrid>
      <w:gridCol w:w="3557"/>
      <w:gridCol w:w="3331"/>
      <w:gridCol w:w="3331"/>
    </w:tblGrid>
    <w:tr w14:paraId="64ED9D3B">
      <w:tblPrEx>
        <w:tblCellMar>
          <w:top w:w="0" w:type="dxa"/>
          <w:left w:w="70" w:type="dxa"/>
          <w:bottom w:w="0" w:type="dxa"/>
          <w:right w:w="70" w:type="dxa"/>
        </w:tblCellMar>
      </w:tblPrEx>
      <w:trPr>
        <w:cantSplit/>
        <w:trHeight w:val="284" w:hRule="exact"/>
      </w:trPr>
      <w:tc>
        <w:tcPr>
          <w:tcW w:w="3557" w:type="dxa"/>
          <w:vAlign w:val="center"/>
        </w:tcPr>
        <w:p w14:paraId="1D443FE6">
          <w:pPr>
            <w:pStyle w:val="19"/>
            <w:framePr w:hSpace="0" w:wrap="auto" w:vAnchor="margin" w:hAnchor="text" w:xAlign="left" w:yAlign="inline"/>
          </w:pPr>
        </w:p>
      </w:tc>
      <w:tc>
        <w:tcPr>
          <w:tcW w:w="3331" w:type="dxa"/>
          <w:vAlign w:val="center"/>
        </w:tcPr>
        <w:p w14:paraId="5E540C9B">
          <w:pPr>
            <w:tabs>
              <w:tab w:val="right" w:pos="9072"/>
            </w:tabs>
            <w:jc w:val="center"/>
            <w:rPr>
              <w:rFonts w:cs="Arial"/>
              <w:sz w:val="12"/>
              <w:szCs w:val="12"/>
              <w:lang w:eastAsia="de-AT"/>
            </w:rPr>
          </w:pPr>
          <w:r>
            <w:rPr>
              <w:rFonts w:cs="Arial"/>
              <w:sz w:val="12"/>
              <w:szCs w:val="12"/>
              <w:lang w:eastAsia="de-AT"/>
            </w:rPr>
            <w:t xml:space="preserve">Page </w:t>
          </w:r>
          <w:r>
            <w:rPr>
              <w:rFonts w:cs="Arial"/>
              <w:sz w:val="12"/>
              <w:szCs w:val="12"/>
              <w:lang w:eastAsia="de-AT"/>
            </w:rPr>
            <w:fldChar w:fldCharType="begin"/>
          </w:r>
          <w:r>
            <w:rPr>
              <w:rFonts w:cs="Arial"/>
              <w:sz w:val="12"/>
              <w:szCs w:val="12"/>
              <w:lang w:eastAsia="de-AT"/>
            </w:rPr>
            <w:instrText xml:space="preserve"> PAGE </w:instrText>
          </w:r>
          <w:r>
            <w:rPr>
              <w:rFonts w:cs="Arial"/>
              <w:sz w:val="12"/>
              <w:szCs w:val="12"/>
              <w:lang w:eastAsia="de-AT"/>
            </w:rPr>
            <w:fldChar w:fldCharType="separate"/>
          </w:r>
          <w:r>
            <w:rPr>
              <w:rFonts w:cs="Arial"/>
              <w:sz w:val="12"/>
              <w:szCs w:val="12"/>
              <w:lang w:eastAsia="de-AT"/>
            </w:rPr>
            <w:t>2</w:t>
          </w:r>
          <w:r>
            <w:rPr>
              <w:rFonts w:cs="Arial"/>
              <w:sz w:val="12"/>
              <w:szCs w:val="12"/>
              <w:lang w:eastAsia="de-AT"/>
            </w:rPr>
            <w:fldChar w:fldCharType="end"/>
          </w:r>
          <w:r>
            <w:rPr>
              <w:rFonts w:cs="Arial"/>
              <w:sz w:val="12"/>
              <w:szCs w:val="12"/>
              <w:lang w:eastAsia="de-AT"/>
            </w:rPr>
            <w:t xml:space="preserve"> of </w:t>
          </w:r>
          <w:r>
            <w:rPr>
              <w:rFonts w:cs="Arial"/>
              <w:sz w:val="12"/>
              <w:szCs w:val="12"/>
              <w:lang w:eastAsia="de-AT"/>
            </w:rPr>
            <w:fldChar w:fldCharType="begin"/>
          </w:r>
          <w:r>
            <w:rPr>
              <w:rFonts w:cs="Arial"/>
              <w:sz w:val="12"/>
              <w:szCs w:val="12"/>
              <w:lang w:eastAsia="de-AT"/>
            </w:rPr>
            <w:instrText xml:space="preserve"> NUMPAGES </w:instrText>
          </w:r>
          <w:r>
            <w:rPr>
              <w:rFonts w:cs="Arial"/>
              <w:sz w:val="12"/>
              <w:szCs w:val="12"/>
              <w:lang w:eastAsia="de-AT"/>
            </w:rPr>
            <w:fldChar w:fldCharType="separate"/>
          </w:r>
          <w:r>
            <w:rPr>
              <w:rFonts w:cs="Arial"/>
              <w:sz w:val="12"/>
              <w:szCs w:val="12"/>
              <w:lang w:eastAsia="de-AT"/>
            </w:rPr>
            <w:t>2</w:t>
          </w:r>
          <w:r>
            <w:rPr>
              <w:rFonts w:cs="Arial"/>
              <w:sz w:val="12"/>
              <w:szCs w:val="12"/>
              <w:lang w:eastAsia="de-AT"/>
            </w:rPr>
            <w:fldChar w:fldCharType="end"/>
          </w:r>
        </w:p>
      </w:tc>
      <w:tc>
        <w:tcPr>
          <w:tcW w:w="3331" w:type="dxa"/>
          <w:vAlign w:val="center"/>
        </w:tcPr>
        <w:p w14:paraId="59747D09">
          <w:pPr>
            <w:tabs>
              <w:tab w:val="right" w:pos="9072"/>
            </w:tabs>
            <w:rPr>
              <w:rFonts w:cs="Arial"/>
              <w:sz w:val="12"/>
              <w:szCs w:val="12"/>
              <w:lang w:eastAsia="de-AT"/>
            </w:rPr>
          </w:pPr>
        </w:p>
      </w:tc>
    </w:tr>
  </w:tbl>
  <w:p w14:paraId="0AB5CDE8">
    <w:pPr>
      <w:pStyle w:val="19"/>
      <w:framePr w:wrap="arou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8"/>
      <w:tblW w:w="10182" w:type="dxa"/>
      <w:tblInd w:w="0" w:type="dxa"/>
      <w:tblLayout w:type="fixed"/>
      <w:tblCellMar>
        <w:top w:w="0" w:type="dxa"/>
        <w:left w:w="70" w:type="dxa"/>
        <w:bottom w:w="0" w:type="dxa"/>
        <w:right w:w="70" w:type="dxa"/>
      </w:tblCellMar>
    </w:tblPr>
    <w:tblGrid>
      <w:gridCol w:w="2142"/>
      <w:gridCol w:w="2006"/>
      <w:gridCol w:w="1984"/>
      <w:gridCol w:w="284"/>
      <w:gridCol w:w="3766"/>
    </w:tblGrid>
    <w:tr w14:paraId="4E29F3B1">
      <w:tblPrEx>
        <w:tblCellMar>
          <w:top w:w="0" w:type="dxa"/>
          <w:left w:w="70" w:type="dxa"/>
          <w:bottom w:w="0" w:type="dxa"/>
          <w:right w:w="70" w:type="dxa"/>
        </w:tblCellMar>
      </w:tblPrEx>
      <w:trPr>
        <w:cantSplit/>
        <w:trHeight w:val="284" w:hRule="exact"/>
      </w:trPr>
      <w:tc>
        <w:tcPr>
          <w:tcW w:w="2142" w:type="dxa"/>
          <w:vAlign w:val="center"/>
        </w:tcPr>
        <w:p w14:paraId="4102D665">
          <w:pPr>
            <w:framePr w:hSpace="142" w:wrap="around" w:vAnchor="text" w:hAnchor="margin" w:xAlign="center" w:y="1"/>
            <w:suppressOverlap/>
            <w:tabs>
              <w:tab w:val="center" w:pos="4536"/>
              <w:tab w:val="right" w:pos="9072"/>
            </w:tabs>
            <w:rPr>
              <w:rFonts w:cs="Arial"/>
              <w:sz w:val="12"/>
              <w:szCs w:val="12"/>
              <w:lang w:eastAsia="de-AT"/>
            </w:rPr>
          </w:pPr>
          <w:r>
            <w:rPr>
              <w:rFonts w:cs="Arial"/>
              <w:sz w:val="12"/>
              <w:szCs w:val="12"/>
              <w:lang w:eastAsia="de-AT"/>
            </w:rPr>
            <w:t>No.: FO_27_01_049e</w:t>
          </w:r>
        </w:p>
      </w:tc>
      <w:tc>
        <w:tcPr>
          <w:tcW w:w="2006" w:type="dxa"/>
          <w:vAlign w:val="center"/>
        </w:tcPr>
        <w:p w14:paraId="24E7B330">
          <w:pPr>
            <w:framePr w:hSpace="142" w:wrap="around" w:vAnchor="text" w:hAnchor="margin" w:xAlign="center" w:y="1"/>
            <w:suppressOverlap/>
            <w:tabs>
              <w:tab w:val="center" w:pos="4536"/>
              <w:tab w:val="right" w:pos="9072"/>
            </w:tabs>
            <w:rPr>
              <w:rFonts w:cs="Arial"/>
              <w:sz w:val="12"/>
              <w:szCs w:val="12"/>
              <w:lang w:eastAsia="de-AT"/>
            </w:rPr>
          </w:pPr>
          <w:r>
            <w:rPr>
              <w:rFonts w:cs="Arial"/>
              <w:sz w:val="12"/>
              <w:szCs w:val="12"/>
              <w:lang w:eastAsia="de-AT"/>
            </w:rPr>
            <w:t>Edition:2025/05</w:t>
          </w:r>
        </w:p>
      </w:tc>
      <w:tc>
        <w:tcPr>
          <w:tcW w:w="1984" w:type="dxa"/>
          <w:vAlign w:val="center"/>
        </w:tcPr>
        <w:p w14:paraId="67D211C0">
          <w:pPr>
            <w:framePr w:hSpace="142" w:wrap="around" w:vAnchor="text" w:hAnchor="margin" w:xAlign="center" w:y="1"/>
            <w:suppressOverlap/>
            <w:tabs>
              <w:tab w:val="center" w:pos="4536"/>
              <w:tab w:val="right" w:pos="9072"/>
            </w:tabs>
            <w:rPr>
              <w:rFonts w:cs="Arial"/>
              <w:sz w:val="12"/>
              <w:szCs w:val="12"/>
              <w:lang w:eastAsia="de-AT"/>
            </w:rPr>
          </w:pPr>
          <w:r>
            <w:rPr>
              <w:rFonts w:cs="Arial"/>
              <w:sz w:val="12"/>
              <w:szCs w:val="12"/>
              <w:lang w:eastAsia="de-AT"/>
            </w:rPr>
            <w:t xml:space="preserve">Page </w:t>
          </w:r>
          <w:r>
            <w:rPr>
              <w:rFonts w:cs="Arial"/>
              <w:sz w:val="12"/>
              <w:szCs w:val="12"/>
              <w:lang w:eastAsia="de-AT"/>
            </w:rPr>
            <w:fldChar w:fldCharType="begin"/>
          </w:r>
          <w:r>
            <w:rPr>
              <w:rFonts w:cs="Arial"/>
              <w:sz w:val="12"/>
              <w:szCs w:val="12"/>
              <w:lang w:eastAsia="de-AT"/>
            </w:rPr>
            <w:instrText xml:space="preserve"> PAGE </w:instrText>
          </w:r>
          <w:r>
            <w:rPr>
              <w:rFonts w:cs="Arial"/>
              <w:sz w:val="12"/>
              <w:szCs w:val="12"/>
              <w:lang w:eastAsia="de-AT"/>
            </w:rPr>
            <w:fldChar w:fldCharType="separate"/>
          </w:r>
          <w:r>
            <w:rPr>
              <w:rFonts w:cs="Arial"/>
              <w:sz w:val="12"/>
              <w:szCs w:val="12"/>
              <w:lang w:eastAsia="de-AT"/>
            </w:rPr>
            <w:t>1</w:t>
          </w:r>
          <w:r>
            <w:rPr>
              <w:rFonts w:cs="Arial"/>
              <w:sz w:val="12"/>
              <w:szCs w:val="12"/>
              <w:lang w:eastAsia="de-AT"/>
            </w:rPr>
            <w:fldChar w:fldCharType="end"/>
          </w:r>
          <w:r>
            <w:rPr>
              <w:rFonts w:cs="Arial"/>
              <w:sz w:val="12"/>
              <w:szCs w:val="12"/>
              <w:lang w:eastAsia="de-AT"/>
            </w:rPr>
            <w:t xml:space="preserve"> of </w:t>
          </w:r>
          <w:r>
            <w:rPr>
              <w:rFonts w:cs="Arial"/>
              <w:sz w:val="12"/>
              <w:szCs w:val="12"/>
              <w:lang w:eastAsia="de-AT"/>
            </w:rPr>
            <w:fldChar w:fldCharType="begin"/>
          </w:r>
          <w:r>
            <w:rPr>
              <w:rFonts w:cs="Arial"/>
              <w:sz w:val="12"/>
              <w:szCs w:val="12"/>
              <w:lang w:eastAsia="de-AT"/>
            </w:rPr>
            <w:instrText xml:space="preserve"> NUMPAGES </w:instrText>
          </w:r>
          <w:r>
            <w:rPr>
              <w:rFonts w:cs="Arial"/>
              <w:sz w:val="12"/>
              <w:szCs w:val="12"/>
              <w:lang w:eastAsia="de-AT"/>
            </w:rPr>
            <w:fldChar w:fldCharType="separate"/>
          </w:r>
          <w:r>
            <w:rPr>
              <w:rFonts w:cs="Arial"/>
              <w:sz w:val="12"/>
              <w:szCs w:val="12"/>
              <w:lang w:eastAsia="de-AT"/>
            </w:rPr>
            <w:t>2</w:t>
          </w:r>
          <w:r>
            <w:rPr>
              <w:rFonts w:cs="Arial"/>
              <w:sz w:val="12"/>
              <w:szCs w:val="12"/>
              <w:lang w:eastAsia="de-AT"/>
            </w:rPr>
            <w:fldChar w:fldCharType="end"/>
          </w:r>
        </w:p>
      </w:tc>
      <w:tc>
        <w:tcPr>
          <w:tcW w:w="284" w:type="dxa"/>
          <w:vMerge w:val="restart"/>
          <w:vAlign w:val="center"/>
        </w:tcPr>
        <w:p w14:paraId="00FFE060">
          <w:pPr>
            <w:framePr w:hSpace="142" w:wrap="around" w:vAnchor="text" w:hAnchor="margin" w:xAlign="center" w:y="1"/>
            <w:suppressOverlap/>
            <w:tabs>
              <w:tab w:val="center" w:pos="4536"/>
              <w:tab w:val="right" w:pos="9072"/>
            </w:tabs>
            <w:rPr>
              <w:rFonts w:cs="Arial"/>
              <w:sz w:val="12"/>
              <w:szCs w:val="12"/>
              <w:lang w:eastAsia="de-AT"/>
            </w:rPr>
          </w:pPr>
        </w:p>
      </w:tc>
      <w:tc>
        <w:tcPr>
          <w:tcW w:w="3766" w:type="dxa"/>
          <w:vMerge w:val="restart"/>
          <w:vAlign w:val="center"/>
        </w:tcPr>
        <w:p w14:paraId="734F6C62">
          <w:pPr>
            <w:framePr w:hSpace="142" w:wrap="around" w:vAnchor="text" w:hAnchor="margin" w:xAlign="center" w:y="1"/>
            <w:suppressOverlap/>
            <w:tabs>
              <w:tab w:val="center" w:pos="4536"/>
              <w:tab w:val="right" w:pos="9072"/>
            </w:tabs>
            <w:rPr>
              <w:rFonts w:cs="Arial"/>
              <w:sz w:val="12"/>
              <w:szCs w:val="12"/>
              <w:lang w:eastAsia="de-AT"/>
            </w:rPr>
          </w:pPr>
          <w:r>
            <w:rPr>
              <w:rFonts w:cs="Arial"/>
              <w:sz w:val="12"/>
              <w:szCs w:val="12"/>
              <w:lang w:eastAsia="de-AT"/>
            </w:rPr>
            <w:t>Customer Service Center: Am Winterhafen 1, A-4020 Linz</w:t>
          </w:r>
        </w:p>
        <w:p w14:paraId="48FDDD92">
          <w:pPr>
            <w:framePr w:hSpace="142" w:wrap="around" w:vAnchor="text" w:hAnchor="margin" w:xAlign="center" w:y="1"/>
            <w:suppressOverlap/>
            <w:tabs>
              <w:tab w:val="center" w:pos="4536"/>
              <w:tab w:val="right" w:pos="9072"/>
            </w:tabs>
            <w:rPr>
              <w:rFonts w:cs="Arial"/>
              <w:sz w:val="12"/>
              <w:szCs w:val="12"/>
              <w:lang w:val="fr-FR" w:eastAsia="de-AT"/>
            </w:rPr>
          </w:pPr>
          <w:r>
            <w:rPr>
              <w:rFonts w:cs="Arial"/>
              <w:sz w:val="12"/>
              <w:szCs w:val="12"/>
              <w:lang w:val="fr-FR" w:eastAsia="de-AT"/>
            </w:rPr>
            <w:t xml:space="preserve">Phone: +43 732 34 23 22, Fax: +43 732 34 23 23, </w:t>
          </w:r>
          <w:r>
            <w:fldChar w:fldCharType="begin"/>
          </w:r>
          <w:r>
            <w:instrText xml:space="preserve"> HYPERLINK "http://www.qualityaustria.com/" </w:instrText>
          </w:r>
          <w:r>
            <w:fldChar w:fldCharType="separate"/>
          </w:r>
          <w:r>
            <w:rPr>
              <w:rFonts w:cs="Arial"/>
              <w:color w:val="DB071F"/>
              <w:sz w:val="12"/>
              <w:szCs w:val="12"/>
              <w:u w:val="single"/>
              <w:lang w:val="fr-FR" w:eastAsia="de-AT"/>
            </w:rPr>
            <w:t>www.qualityaustria.com</w:t>
          </w:r>
          <w:r>
            <w:rPr>
              <w:rFonts w:cs="Arial"/>
              <w:color w:val="DB071F"/>
              <w:sz w:val="12"/>
              <w:szCs w:val="12"/>
              <w:u w:val="single"/>
              <w:lang w:val="fr-FR" w:eastAsia="de-AT"/>
            </w:rPr>
            <w:fldChar w:fldCharType="end"/>
          </w:r>
          <w:r>
            <w:rPr>
              <w:rFonts w:cs="Arial"/>
              <w:sz w:val="12"/>
              <w:szCs w:val="12"/>
              <w:lang w:val="fr-FR" w:eastAsia="de-AT"/>
            </w:rPr>
            <w:t xml:space="preserve"> E-Mail: </w:t>
          </w:r>
          <w:r>
            <w:fldChar w:fldCharType="begin"/>
          </w:r>
          <w:r>
            <w:instrText xml:space="preserve"> HYPERLINK "mailto:office@qualityaustria.com" </w:instrText>
          </w:r>
          <w:r>
            <w:fldChar w:fldCharType="separate"/>
          </w:r>
          <w:r>
            <w:rPr>
              <w:rFonts w:cs="Arial"/>
              <w:color w:val="DB071F"/>
              <w:sz w:val="12"/>
              <w:szCs w:val="12"/>
              <w:u w:val="single"/>
              <w:lang w:val="fr-FR" w:eastAsia="de-AT"/>
            </w:rPr>
            <w:t>office@qualityaustria.com</w:t>
          </w:r>
          <w:r>
            <w:rPr>
              <w:rFonts w:cs="Arial"/>
              <w:color w:val="DB071F"/>
              <w:sz w:val="12"/>
              <w:szCs w:val="12"/>
              <w:u w:val="single"/>
              <w:lang w:val="fr-FR" w:eastAsia="de-AT"/>
            </w:rPr>
            <w:fldChar w:fldCharType="end"/>
          </w:r>
        </w:p>
      </w:tc>
    </w:tr>
    <w:tr w14:paraId="677717DA">
      <w:tblPrEx>
        <w:tblCellMar>
          <w:top w:w="0" w:type="dxa"/>
          <w:left w:w="70" w:type="dxa"/>
          <w:bottom w:w="0" w:type="dxa"/>
          <w:right w:w="70" w:type="dxa"/>
        </w:tblCellMar>
      </w:tblPrEx>
      <w:trPr>
        <w:cantSplit/>
        <w:trHeight w:val="284" w:hRule="exact"/>
      </w:trPr>
      <w:tc>
        <w:tcPr>
          <w:tcW w:w="2142" w:type="dxa"/>
          <w:vAlign w:val="center"/>
        </w:tcPr>
        <w:p w14:paraId="3A76BC58">
          <w:pPr>
            <w:framePr w:hSpace="142" w:wrap="around" w:vAnchor="text" w:hAnchor="margin" w:xAlign="center" w:y="1"/>
            <w:suppressOverlap/>
            <w:tabs>
              <w:tab w:val="center" w:pos="4536"/>
              <w:tab w:val="right" w:pos="9072"/>
            </w:tabs>
            <w:rPr>
              <w:rFonts w:cs="Arial"/>
              <w:sz w:val="12"/>
              <w:szCs w:val="12"/>
              <w:lang w:eastAsia="de-AT"/>
            </w:rPr>
          </w:pPr>
          <w:r>
            <w:rPr>
              <w:rFonts w:cs="Arial"/>
              <w:sz w:val="12"/>
              <w:szCs w:val="12"/>
              <w:lang w:eastAsia="de-AT"/>
            </w:rPr>
            <w:t>Created: Lube</w:t>
          </w:r>
        </w:p>
      </w:tc>
      <w:tc>
        <w:tcPr>
          <w:tcW w:w="2006" w:type="dxa"/>
          <w:vAlign w:val="center"/>
        </w:tcPr>
        <w:p w14:paraId="78245D26">
          <w:pPr>
            <w:framePr w:hSpace="142" w:wrap="around" w:vAnchor="text" w:hAnchor="margin" w:xAlign="center" w:y="1"/>
            <w:suppressOverlap/>
            <w:tabs>
              <w:tab w:val="center" w:pos="4536"/>
              <w:tab w:val="right" w:pos="9072"/>
            </w:tabs>
            <w:rPr>
              <w:rFonts w:cs="Arial"/>
              <w:sz w:val="12"/>
              <w:szCs w:val="12"/>
              <w:lang w:eastAsia="de-AT"/>
            </w:rPr>
          </w:pPr>
          <w:r>
            <w:rPr>
              <w:rFonts w:cs="Arial"/>
              <w:sz w:val="12"/>
              <w:szCs w:val="12"/>
              <w:lang w:eastAsia="de-AT"/>
            </w:rPr>
            <w:t>Reviewed: Khuen</w:t>
          </w:r>
        </w:p>
      </w:tc>
      <w:tc>
        <w:tcPr>
          <w:tcW w:w="1984" w:type="dxa"/>
          <w:vAlign w:val="center"/>
        </w:tcPr>
        <w:p w14:paraId="26166B33">
          <w:pPr>
            <w:framePr w:hSpace="142" w:wrap="around" w:vAnchor="text" w:hAnchor="margin" w:xAlign="center" w:y="1"/>
            <w:suppressOverlap/>
            <w:tabs>
              <w:tab w:val="center" w:pos="4536"/>
              <w:tab w:val="right" w:pos="9072"/>
            </w:tabs>
            <w:rPr>
              <w:rFonts w:cs="Arial"/>
              <w:sz w:val="12"/>
              <w:szCs w:val="12"/>
              <w:lang w:eastAsia="de-AT"/>
            </w:rPr>
          </w:pPr>
          <w:r>
            <w:rPr>
              <w:rFonts w:cs="Arial"/>
              <w:sz w:val="12"/>
              <w:szCs w:val="12"/>
              <w:lang w:eastAsia="de-AT"/>
            </w:rPr>
            <w:t>Released: Stöhrmann</w:t>
          </w:r>
        </w:p>
      </w:tc>
      <w:tc>
        <w:tcPr>
          <w:tcW w:w="284" w:type="dxa"/>
          <w:vMerge w:val="continue"/>
          <w:vAlign w:val="center"/>
        </w:tcPr>
        <w:p w14:paraId="451B48B0">
          <w:pPr>
            <w:framePr w:hSpace="142" w:wrap="around" w:vAnchor="text" w:hAnchor="margin" w:xAlign="center" w:y="1"/>
            <w:suppressOverlap/>
            <w:tabs>
              <w:tab w:val="center" w:pos="4536"/>
              <w:tab w:val="right" w:pos="9072"/>
            </w:tabs>
            <w:rPr>
              <w:rFonts w:cs="Arial"/>
              <w:sz w:val="12"/>
              <w:szCs w:val="12"/>
              <w:lang w:eastAsia="de-AT"/>
            </w:rPr>
          </w:pPr>
        </w:p>
      </w:tc>
      <w:tc>
        <w:tcPr>
          <w:tcW w:w="3766" w:type="dxa"/>
          <w:vMerge w:val="continue"/>
          <w:vAlign w:val="center"/>
        </w:tcPr>
        <w:p w14:paraId="42C05484">
          <w:pPr>
            <w:framePr w:hSpace="142" w:wrap="around" w:vAnchor="text" w:hAnchor="margin" w:xAlign="center" w:y="1"/>
            <w:suppressOverlap/>
            <w:tabs>
              <w:tab w:val="center" w:pos="4536"/>
              <w:tab w:val="right" w:pos="9072"/>
            </w:tabs>
            <w:rPr>
              <w:rFonts w:cs="Arial"/>
              <w:sz w:val="12"/>
              <w:szCs w:val="12"/>
              <w:lang w:eastAsia="de-AT"/>
            </w:rPr>
          </w:pPr>
        </w:p>
      </w:tc>
    </w:tr>
  </w:tbl>
  <w:p w14:paraId="5EDB0679">
    <w:pPr>
      <w:pStyle w:val="19"/>
      <w:framePr w:wrap="around"/>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9602D">
    <w:pPr>
      <w:pStyle w:val="20"/>
      <w:ind w:left="426"/>
    </w:pPr>
    <w:r>
      <w:rPr>
        <w:rFonts w:ascii="Times New Roman" w:hAnsi="Times New Roman"/>
        <w:b/>
        <w:color w:val="FFFFFF" w:themeColor="background1"/>
        <w:sz w:val="28"/>
        <w:szCs w:val="24"/>
        <w:lang w:eastAsia="de-DE"/>
        <w14:textFill>
          <w14:solidFill>
            <w14:schemeClr w14:val="bg1"/>
          </w14:solidFill>
        </w14:textFill>
      </w:rPr>
      <w:drawing>
        <wp:anchor distT="0" distB="0" distL="114300" distR="114300" simplePos="0" relativeHeight="251662336" behindDoc="0" locked="0" layoutInCell="1" allowOverlap="1">
          <wp:simplePos x="0" y="0"/>
          <wp:positionH relativeFrom="column">
            <wp:posOffset>59690</wp:posOffset>
          </wp:positionH>
          <wp:positionV relativeFrom="paragraph">
            <wp:posOffset>-173990</wp:posOffset>
          </wp:positionV>
          <wp:extent cx="1800225" cy="535305"/>
          <wp:effectExtent l="0" t="0" r="0" b="0"/>
          <wp:wrapNone/>
          <wp:docPr id="296929300" name="Grafik 11"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929300" name="Grafik 11"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800225" cy="535099"/>
                  </a:xfrm>
                  <a:prstGeom prst="rect">
                    <a:avLst/>
                  </a:prstGeom>
                  <a:noFill/>
                  <a:ln>
                    <a:noFill/>
                  </a:ln>
                </pic:spPr>
              </pic:pic>
            </a:graphicData>
          </a:graphic>
        </wp:anchor>
      </w:drawing>
    </w:r>
    <w:r>
      <w:rPr>
        <w:rFonts w:ascii="Times New Roman" w:hAnsi="Times New Roman"/>
        <w:b/>
        <w:color w:val="FFFFFF" w:themeColor="background1"/>
        <w:sz w:val="28"/>
        <w:szCs w:val="24"/>
        <w:lang w:eastAsia="de-DE"/>
        <w14:textFill>
          <w14:solidFill>
            <w14:schemeClr w14:val="bg1"/>
          </w14:solidFill>
        </w14:textFill>
      </w:rPr>
      <mc:AlternateContent>
        <mc:Choice Requires="wpg">
          <w:drawing>
            <wp:anchor distT="0" distB="0" distL="114300" distR="114300" simplePos="0" relativeHeight="251660288" behindDoc="1" locked="0" layoutInCell="1" allowOverlap="1">
              <wp:simplePos x="0" y="0"/>
              <wp:positionH relativeFrom="column">
                <wp:posOffset>-802005</wp:posOffset>
              </wp:positionH>
              <wp:positionV relativeFrom="paragraph">
                <wp:posOffset>-467360</wp:posOffset>
              </wp:positionV>
              <wp:extent cx="7675245" cy="1108710"/>
              <wp:effectExtent l="0" t="0" r="2540" b="0"/>
              <wp:wrapNone/>
              <wp:docPr id="141483064" name="Gruppieren 285"/>
              <wp:cNvGraphicFramePr/>
              <a:graphic xmlns:a="http://schemas.openxmlformats.org/drawingml/2006/main">
                <a:graphicData uri="http://schemas.microsoft.com/office/word/2010/wordprocessingGroup">
                  <wpg:wgp>
                    <wpg:cNvGrpSpPr/>
                    <wpg:grpSpPr>
                      <a:xfrm>
                        <a:off x="0" y="0"/>
                        <a:ext cx="7675200" cy="1108800"/>
                        <a:chOff x="6823" y="-16051"/>
                        <a:chExt cx="7674134" cy="1109219"/>
                      </a:xfrm>
                    </wpg:grpSpPr>
                    <wps:wsp>
                      <wps:cNvPr id="729632588" name="Rechtwinkliges Dreieck 25"/>
                      <wps:cNvSpPr>
                        <a:spLocks noChangeArrowheads="1"/>
                      </wps:cNvSpPr>
                      <wps:spPr bwMode="auto">
                        <a:xfrm rot="5400000" flipH="1">
                          <a:off x="-162665" y="153437"/>
                          <a:ext cx="1109219" cy="770244"/>
                        </a:xfrm>
                        <a:custGeom>
                          <a:avLst/>
                          <a:gdLst>
                            <a:gd name="T0" fmla="*/ 225525 w 6714831"/>
                            <a:gd name="T1" fmla="*/ 770244 h 658444"/>
                            <a:gd name="T2" fmla="*/ 0 w 6714831"/>
                            <a:gd name="T3" fmla="*/ 0 h 658444"/>
                            <a:gd name="T4" fmla="*/ 1109219 w 6714831"/>
                            <a:gd name="T5" fmla="*/ 37635 h 658444"/>
                            <a:gd name="T6" fmla="*/ 1086962 w 6714831"/>
                            <a:gd name="T7" fmla="*/ 770243 h 658444"/>
                            <a:gd name="T8" fmla="*/ 225525 w 6714831"/>
                            <a:gd name="T9" fmla="*/ 770244 h 65844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6714831" h="658444">
                              <a:moveTo>
                                <a:pt x="1365252" y="658444"/>
                              </a:moveTo>
                              <a:lnTo>
                                <a:pt x="-3" y="0"/>
                              </a:lnTo>
                              <a:lnTo>
                                <a:pt x="6714831" y="32172"/>
                              </a:lnTo>
                              <a:cubicBezTo>
                                <a:pt x="6713683" y="244341"/>
                                <a:pt x="6581244" y="446274"/>
                                <a:pt x="6580096" y="658443"/>
                              </a:cubicBezTo>
                              <a:lnTo>
                                <a:pt x="1365252" y="658444"/>
                              </a:lnTo>
                              <a:close/>
                            </a:path>
                          </a:pathLst>
                        </a:custGeom>
                        <a:solidFill>
                          <a:srgbClr val="BE1925"/>
                        </a:solidFill>
                        <a:ln>
                          <a:noFill/>
                        </a:ln>
                      </wps:spPr>
                      <wps:bodyPr rot="0" vert="horz" wrap="square" lIns="91440" tIns="45720" rIns="91440" bIns="45720" anchor="t" anchorCtr="0" upright="1">
                        <a:noAutofit/>
                      </wps:bodyPr>
                    </wps:wsp>
                    <wps:wsp>
                      <wps:cNvPr id="1881523974" name="Flussdiagramm: Manuelle Eingabe 1"/>
                      <wps:cNvSpPr/>
                      <wps:spPr bwMode="auto">
                        <a:xfrm flipH="1" flipV="1">
                          <a:off x="612727" y="249"/>
                          <a:ext cx="7068230" cy="1092918"/>
                        </a:xfrm>
                        <a:custGeom>
                          <a:avLst/>
                          <a:gdLst>
                            <a:gd name="T0" fmla="*/ 0 w 12779"/>
                            <a:gd name="T1" fmla="*/ 167775 h 13328"/>
                            <a:gd name="T2" fmla="*/ 6906721 w 12779"/>
                            <a:gd name="T3" fmla="*/ 0 h 13328"/>
                            <a:gd name="T4" fmla="*/ 7068230 w 12779"/>
                            <a:gd name="T5" fmla="*/ 1092918 h 13328"/>
                            <a:gd name="T6" fmla="*/ 0 w 12779"/>
                            <a:gd name="T7" fmla="*/ 1092918 h 13328"/>
                            <a:gd name="T8" fmla="*/ 0 w 12779"/>
                            <a:gd name="T9" fmla="*/ 167775 h 1332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2779" h="13328">
                              <a:moveTo>
                                <a:pt x="0" y="2046"/>
                              </a:moveTo>
                              <a:cubicBezTo>
                                <a:pt x="4138" y="1576"/>
                                <a:pt x="8349" y="470"/>
                                <a:pt x="12487" y="0"/>
                              </a:cubicBezTo>
                              <a:cubicBezTo>
                                <a:pt x="12540" y="1644"/>
                                <a:pt x="12735" y="11670"/>
                                <a:pt x="12779" y="13328"/>
                              </a:cubicBezTo>
                              <a:lnTo>
                                <a:pt x="0" y="13328"/>
                              </a:lnTo>
                              <a:lnTo>
                                <a:pt x="0" y="2046"/>
                              </a:lnTo>
                              <a:close/>
                            </a:path>
                          </a:pathLst>
                        </a:custGeom>
                        <a:solidFill>
                          <a:srgbClr val="DB0720"/>
                        </a:solidFill>
                        <a:ln>
                          <a:noFill/>
                        </a:ln>
                      </wps:spPr>
                      <wps:bodyPr rot="0" vert="horz" wrap="square" lIns="91440" tIns="45720" rIns="91440" bIns="45720" anchor="ctr" anchorCtr="0" upright="1">
                        <a:noAutofit/>
                      </wps:bodyPr>
                    </wps:wsp>
                  </wpg:wgp>
                </a:graphicData>
              </a:graphic>
            </wp:anchor>
          </w:drawing>
        </mc:Choice>
        <mc:Fallback>
          <w:pict>
            <v:group id="Gruppieren 285" o:spid="_x0000_s1026" o:spt="203" style="position:absolute;left:0pt;margin-left:-63.15pt;margin-top:-36.8pt;height:87.3pt;width:604.35pt;z-index:-251656192;mso-width-relative:page;mso-height-relative:page;" coordorigin="6823,-16051" coordsize="7674134,1109219" o:gfxdata="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">
              <o:lock v:ext="edit" aspectratio="f"/>
              <v:shape id="Rechtwinkliges Dreieck 25" o:spid="_x0000_s1026" o:spt="100" style="position:absolute;left:-162665;top:153437;flip:x;height:770244;width:1109219;rotation:-5898240f;" fillcolor="#BE1925" filled="t" stroked="f" coordsize="6714831,658444" o:gfxdata="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PCoFT8QAAADiAAAADwAAAAAAAAABACAAAAAiAAAAZHJzL2Rvd25yZXYueG1sUEsBAhQAFAAAAAgA&#10;h07iQDMvBZ47AAAAOQAAABAAAAAAAAAAAQAgAAAAEwEAAGRycy9zaGFwZXhtbC54bWxQSwUGAAAA&#10;AAYABgBbAQAAvQMAAAAA&#10;" path="m1365252,658444l-3,0,6714831,32172c6713683,244341,6581244,446274,6580096,658443l1365252,658444xe">
                <v:path o:connectlocs="37254,901026;0,0;183231,44025;179554,901025;37254,901026" o:connectangles="0,0,0,0,0"/>
                <v:fill on="t" focussize="0,0"/>
                <v:stroke on="f"/>
                <v:imagedata o:title=""/>
                <o:lock v:ext="edit" aspectratio="f"/>
              </v:shape>
              <v:shape id="Flussdiagramm: Manuelle Eingabe 1" o:spid="_x0000_s1026" o:spt="100" style="position:absolute;left:612727;top:249;flip:x y;height:1092918;width:7068230;v-text-anchor:middle;" fillcolor="#DB0720" filled="t" stroked="f" coordsize="12779,13328" o:gfxdata="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7&#10;/WbCwwAAAOMAAAAPAAAAAAAAAAEAIAAAACIAAABkcnMvZG93bnJldi54bWxQSwECFAAUAAAACACH&#10;TuJAMy8FnjsAAAA5AAAAEAAAAAAAAAABACAAAAASAQAAZHJzL3NoYXBleG1sLnhtbFBLBQYAAAAA&#10;BgAGAFsBAAC8AwAAAAA=&#10;" path="m0,2046c4138,1576,8349,470,12487,0c12540,1644,12735,11670,12779,13328l0,13328,0,2046xe">
                <v:path o:connectlocs="0,13757826;@0,0;@0,89621080;0,89621080;0,13757826" o:connectangles="0,0,0,0,0"/>
                <v:fill on="t" focussize="0,0"/>
                <v:stroke on="f"/>
                <v:imagedata o:title=""/>
                <o:lock v:ext="edit" aspectratio="f"/>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3DB31">
    <w:pPr>
      <w:pStyle w:val="20"/>
    </w:pPr>
    <w:r>
      <w:rPr>
        <w:rFonts w:ascii="Times New Roman" w:hAnsi="Times New Roman"/>
        <w:b/>
        <w:color w:val="FFFFFF" w:themeColor="background1"/>
        <w:sz w:val="28"/>
        <w:szCs w:val="24"/>
        <w:lang w:eastAsia="de-DE"/>
        <w14:textFill>
          <w14:solidFill>
            <w14:schemeClr w14:val="bg1"/>
          </w14:solidFill>
        </w14:textFill>
      </w:rPr>
      <w:drawing>
        <wp:anchor distT="0" distB="0" distL="114300" distR="114300" simplePos="0" relativeHeight="251661312" behindDoc="0" locked="0" layoutInCell="1" allowOverlap="1">
          <wp:simplePos x="0" y="0"/>
          <wp:positionH relativeFrom="column">
            <wp:posOffset>118110</wp:posOffset>
          </wp:positionH>
          <wp:positionV relativeFrom="paragraph">
            <wp:posOffset>-135890</wp:posOffset>
          </wp:positionV>
          <wp:extent cx="1800225" cy="535305"/>
          <wp:effectExtent l="0" t="0" r="0" b="0"/>
          <wp:wrapNone/>
          <wp:docPr id="1621341339" name="Grafik 11"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341339" name="Grafik 11"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800225" cy="535099"/>
                  </a:xfrm>
                  <a:prstGeom prst="rect">
                    <a:avLst/>
                  </a:prstGeom>
                  <a:noFill/>
                  <a:ln>
                    <a:noFill/>
                  </a:ln>
                </pic:spPr>
              </pic:pic>
            </a:graphicData>
          </a:graphic>
        </wp:anchor>
      </w:drawing>
    </w:r>
    <w:r>
      <mc:AlternateContent>
        <mc:Choice Requires="wpg">
          <w:drawing>
            <wp:anchor distT="0" distB="0" distL="114300" distR="114300" simplePos="0" relativeHeight="251659264" behindDoc="1" locked="0" layoutInCell="1" allowOverlap="1">
              <wp:simplePos x="0" y="0"/>
              <wp:positionH relativeFrom="column">
                <wp:posOffset>-796290</wp:posOffset>
              </wp:positionH>
              <wp:positionV relativeFrom="paragraph">
                <wp:posOffset>-469265</wp:posOffset>
              </wp:positionV>
              <wp:extent cx="7675245" cy="1108710"/>
              <wp:effectExtent l="0" t="0" r="2540" b="0"/>
              <wp:wrapNone/>
              <wp:docPr id="1270655734" name="Gruppieren 285"/>
              <wp:cNvGraphicFramePr/>
              <a:graphic xmlns:a="http://schemas.openxmlformats.org/drawingml/2006/main">
                <a:graphicData uri="http://schemas.microsoft.com/office/word/2010/wordprocessingGroup">
                  <wpg:wgp>
                    <wpg:cNvGrpSpPr/>
                    <wpg:grpSpPr>
                      <a:xfrm>
                        <a:off x="0" y="0"/>
                        <a:ext cx="7675200" cy="1108800"/>
                        <a:chOff x="6823" y="-16051"/>
                        <a:chExt cx="7674134" cy="1109219"/>
                      </a:xfrm>
                    </wpg:grpSpPr>
                    <wps:wsp>
                      <wps:cNvPr id="1791797266" name="Rechtwinkliges Dreieck 25"/>
                      <wps:cNvSpPr>
                        <a:spLocks noChangeArrowheads="1"/>
                      </wps:cNvSpPr>
                      <wps:spPr bwMode="auto">
                        <a:xfrm rot="5400000" flipH="1">
                          <a:off x="-162665" y="153437"/>
                          <a:ext cx="1109219" cy="770244"/>
                        </a:xfrm>
                        <a:custGeom>
                          <a:avLst/>
                          <a:gdLst>
                            <a:gd name="T0" fmla="*/ 225525 w 6714831"/>
                            <a:gd name="T1" fmla="*/ 770244 h 658444"/>
                            <a:gd name="T2" fmla="*/ 0 w 6714831"/>
                            <a:gd name="T3" fmla="*/ 0 h 658444"/>
                            <a:gd name="T4" fmla="*/ 1109219 w 6714831"/>
                            <a:gd name="T5" fmla="*/ 37635 h 658444"/>
                            <a:gd name="T6" fmla="*/ 1086962 w 6714831"/>
                            <a:gd name="T7" fmla="*/ 770243 h 658444"/>
                            <a:gd name="T8" fmla="*/ 225525 w 6714831"/>
                            <a:gd name="T9" fmla="*/ 770244 h 65844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6714831" h="658444">
                              <a:moveTo>
                                <a:pt x="1365252" y="658444"/>
                              </a:moveTo>
                              <a:lnTo>
                                <a:pt x="-3" y="0"/>
                              </a:lnTo>
                              <a:lnTo>
                                <a:pt x="6714831" y="32172"/>
                              </a:lnTo>
                              <a:cubicBezTo>
                                <a:pt x="6713683" y="244341"/>
                                <a:pt x="6581244" y="446274"/>
                                <a:pt x="6580096" y="658443"/>
                              </a:cubicBezTo>
                              <a:lnTo>
                                <a:pt x="1365252" y="658444"/>
                              </a:lnTo>
                              <a:close/>
                            </a:path>
                          </a:pathLst>
                        </a:custGeom>
                        <a:solidFill>
                          <a:srgbClr val="BE1925"/>
                        </a:solidFill>
                        <a:ln>
                          <a:noFill/>
                        </a:ln>
                      </wps:spPr>
                      <wps:bodyPr rot="0" vert="horz" wrap="square" lIns="91440" tIns="45720" rIns="91440" bIns="45720" anchor="t" anchorCtr="0" upright="1">
                        <a:noAutofit/>
                      </wps:bodyPr>
                    </wps:wsp>
                    <wps:wsp>
                      <wps:cNvPr id="867259058" name="Flussdiagramm: Manuelle Eingabe 1"/>
                      <wps:cNvSpPr/>
                      <wps:spPr bwMode="auto">
                        <a:xfrm flipH="1" flipV="1">
                          <a:off x="612727" y="249"/>
                          <a:ext cx="7068230" cy="1092918"/>
                        </a:xfrm>
                        <a:custGeom>
                          <a:avLst/>
                          <a:gdLst>
                            <a:gd name="T0" fmla="*/ 0 w 12779"/>
                            <a:gd name="T1" fmla="*/ 167775 h 13328"/>
                            <a:gd name="T2" fmla="*/ 6906721 w 12779"/>
                            <a:gd name="T3" fmla="*/ 0 h 13328"/>
                            <a:gd name="T4" fmla="*/ 7068230 w 12779"/>
                            <a:gd name="T5" fmla="*/ 1092918 h 13328"/>
                            <a:gd name="T6" fmla="*/ 0 w 12779"/>
                            <a:gd name="T7" fmla="*/ 1092918 h 13328"/>
                            <a:gd name="T8" fmla="*/ 0 w 12779"/>
                            <a:gd name="T9" fmla="*/ 167775 h 1332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2779" h="13328">
                              <a:moveTo>
                                <a:pt x="0" y="2046"/>
                              </a:moveTo>
                              <a:cubicBezTo>
                                <a:pt x="4138" y="1576"/>
                                <a:pt x="8349" y="470"/>
                                <a:pt x="12487" y="0"/>
                              </a:cubicBezTo>
                              <a:cubicBezTo>
                                <a:pt x="12540" y="1644"/>
                                <a:pt x="12735" y="11670"/>
                                <a:pt x="12779" y="13328"/>
                              </a:cubicBezTo>
                              <a:lnTo>
                                <a:pt x="0" y="13328"/>
                              </a:lnTo>
                              <a:lnTo>
                                <a:pt x="0" y="2046"/>
                              </a:lnTo>
                              <a:close/>
                            </a:path>
                          </a:pathLst>
                        </a:custGeom>
                        <a:solidFill>
                          <a:srgbClr val="DB0720"/>
                        </a:solidFill>
                        <a:ln>
                          <a:noFill/>
                        </a:ln>
                      </wps:spPr>
                      <wps:bodyPr rot="0" vert="horz" wrap="square" lIns="91440" tIns="45720" rIns="91440" bIns="45720" anchor="ctr" anchorCtr="0" upright="1">
                        <a:noAutofit/>
                      </wps:bodyPr>
                    </wps:wsp>
                  </wpg:wgp>
                </a:graphicData>
              </a:graphic>
            </wp:anchor>
          </w:drawing>
        </mc:Choice>
        <mc:Fallback>
          <w:pict>
            <v:group id="Gruppieren 285" o:spid="_x0000_s1026" o:spt="203" style="position:absolute;left:0pt;margin-left:-62.7pt;margin-top:-36.95pt;height:87.3pt;width:604.35pt;z-index:-251657216;mso-width-relative:page;mso-height-relative:page;" coordorigin="6823,-16051" coordsize="7674134,1109219" o:gfxdata="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">
              <o:lock v:ext="edit" aspectratio="f"/>
              <v:shape id="Rechtwinkliges Dreieck 25" o:spid="_x0000_s1026" o:spt="100" style="position:absolute;left:-162665;top:153437;flip:x;height:770244;width:1109219;rotation:-5898240f;" fillcolor="#BE1925" filled="t" stroked="f" coordsize="6714831,658444" o:gfxdata="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i/A7&#10;18EAAADjAAAADwAAAAAAAAABACAAAAAiAAAAZHJzL2Rvd25yZXYueG1sUEsBAhQAFAAAAAgAh07i&#10;QDMvBZ47AAAAOQAAABAAAAAAAAAAAQAgAAAAEAEAAGRycy9zaGFwZXhtbC54bWxQSwUGAAAAAAYA&#10;BgBbAQAAugMAAAAA&#10;" path="m1365252,658444l-3,0,6714831,32172c6713683,244341,6581244,446274,6580096,658443l1365252,658444xe">
                <v:path o:connectlocs="37254,901026;0,0;183231,44025;179554,901025;37254,901026" o:connectangles="0,0,0,0,0"/>
                <v:fill on="t" focussize="0,0"/>
                <v:stroke on="f"/>
                <v:imagedata o:title=""/>
                <o:lock v:ext="edit" aspectratio="f"/>
              </v:shape>
              <v:shape id="Flussdiagramm: Manuelle Eingabe 1" o:spid="_x0000_s1026" o:spt="100" style="position:absolute;left:612727;top:249;flip:x y;height:1092918;width:7068230;v-text-anchor:middle;" fillcolor="#DB0720" filled="t" stroked="f" coordsize="12779,13328" o:gfxdata="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bwo&#10;scEAAADiAAAADwAAAAAAAAABACAAAAAiAAAAZHJzL2Rvd25yZXYueG1sUEsBAhQAFAAAAAgAh07i&#10;QDMvBZ47AAAAOQAAABAAAAAAAAAAAQAgAAAAEAEAAGRycy9zaGFwZXhtbC54bWxQSwUGAAAAAAYA&#10;BgBbAQAAugMAAAAA&#10;" path="m0,2046c4138,1576,8349,470,12487,0c12540,1644,12735,11670,12779,13328l0,13328,0,2046xe">
                <v:path o:connectlocs="0,13757826;@0,0;@0,89621080;0,89621080;0,13757826" o:connectangles="0,0,0,0,0"/>
                <v:fill on="t" focussize="0,0"/>
                <v:stroke on="f"/>
                <v:imagedata o:title=""/>
                <o:lock v:ext="edit" aspectratio="f"/>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8"/>
    <w:multiLevelType w:val="singleLevel"/>
    <w:tmpl w:val="FFFFFF88"/>
    <w:lvl w:ilvl="0" w:tentative="0">
      <w:start w:val="1"/>
      <w:numFmt w:val="decimal"/>
      <w:pStyle w:val="15"/>
      <w:lvlText w:val="%1."/>
      <w:lvlJc w:val="left"/>
      <w:pPr>
        <w:tabs>
          <w:tab w:val="left" w:pos="360"/>
        </w:tabs>
        <w:ind w:left="360" w:hanging="360"/>
      </w:pPr>
    </w:lvl>
  </w:abstractNum>
  <w:abstractNum w:abstractNumId="1">
    <w:nsid w:val="4C2570C6"/>
    <w:multiLevelType w:val="multilevel"/>
    <w:tmpl w:val="4C2570C6"/>
    <w:lvl w:ilvl="0" w:tentative="0">
      <w:start w:val="1"/>
      <w:numFmt w:val="bullet"/>
      <w:pStyle w:val="41"/>
      <w:lvlText w:val=""/>
      <w:lvlJc w:val="left"/>
      <w:pPr>
        <w:tabs>
          <w:tab w:val="left" w:pos="708"/>
        </w:tabs>
        <w:ind w:left="992" w:hanging="284"/>
      </w:pPr>
      <w:rPr>
        <w:rFonts w:hint="default" w:ascii="Wingdings" w:hAnsi="Wingdings"/>
        <w:color w:val="DB0720"/>
      </w:rPr>
    </w:lvl>
    <w:lvl w:ilvl="1" w:tentative="0">
      <w:start w:val="1"/>
      <w:numFmt w:val="bullet"/>
      <w:lvlText w:val="o"/>
      <w:lvlJc w:val="left"/>
      <w:pPr>
        <w:ind w:left="1352" w:hanging="360"/>
      </w:pPr>
      <w:rPr>
        <w:rFonts w:hint="default" w:ascii="Courier New" w:hAnsi="Courier New" w:cs="Courier New"/>
      </w:rPr>
    </w:lvl>
    <w:lvl w:ilvl="2" w:tentative="0">
      <w:start w:val="1"/>
      <w:numFmt w:val="bullet"/>
      <w:lvlText w:val=""/>
      <w:lvlJc w:val="left"/>
      <w:pPr>
        <w:tabs>
          <w:tab w:val="left" w:pos="1276"/>
        </w:tabs>
        <w:ind w:left="1560" w:hanging="284"/>
      </w:pPr>
      <w:rPr>
        <w:rFonts w:hint="default" w:ascii="Wingdings" w:hAnsi="Wingdings"/>
        <w:color w:val="DB0720"/>
      </w:rPr>
    </w:lvl>
    <w:lvl w:ilvl="3" w:tentative="0">
      <w:start w:val="1"/>
      <w:numFmt w:val="none"/>
      <w:lvlText w:val=""/>
      <w:lvlJc w:val="left"/>
      <w:pPr>
        <w:tabs>
          <w:tab w:val="left" w:pos="1560"/>
        </w:tabs>
        <w:ind w:left="1844" w:hanging="284"/>
      </w:pPr>
      <w:rPr>
        <w:rFonts w:hint="default"/>
      </w:rPr>
    </w:lvl>
    <w:lvl w:ilvl="4" w:tentative="0">
      <w:start w:val="1"/>
      <w:numFmt w:val="none"/>
      <w:lvlText w:val=""/>
      <w:lvlJc w:val="left"/>
      <w:pPr>
        <w:tabs>
          <w:tab w:val="left" w:pos="1844"/>
        </w:tabs>
        <w:ind w:left="2128" w:hanging="284"/>
      </w:pPr>
      <w:rPr>
        <w:rFonts w:hint="default"/>
      </w:rPr>
    </w:lvl>
    <w:lvl w:ilvl="5" w:tentative="0">
      <w:start w:val="1"/>
      <w:numFmt w:val="none"/>
      <w:lvlText w:val=""/>
      <w:lvlJc w:val="left"/>
      <w:pPr>
        <w:tabs>
          <w:tab w:val="left" w:pos="2128"/>
        </w:tabs>
        <w:ind w:left="2412" w:hanging="284"/>
      </w:pPr>
      <w:rPr>
        <w:rFonts w:hint="default"/>
      </w:rPr>
    </w:lvl>
    <w:lvl w:ilvl="6" w:tentative="0">
      <w:start w:val="1"/>
      <w:numFmt w:val="none"/>
      <w:lvlText w:val=""/>
      <w:lvlJc w:val="left"/>
      <w:pPr>
        <w:tabs>
          <w:tab w:val="left" w:pos="2412"/>
        </w:tabs>
        <w:ind w:left="2696" w:hanging="284"/>
      </w:pPr>
      <w:rPr>
        <w:rFonts w:hint="default"/>
      </w:rPr>
    </w:lvl>
    <w:lvl w:ilvl="7" w:tentative="0">
      <w:start w:val="1"/>
      <w:numFmt w:val="none"/>
      <w:lvlText w:val=""/>
      <w:lvlJc w:val="left"/>
      <w:pPr>
        <w:tabs>
          <w:tab w:val="left" w:pos="2696"/>
        </w:tabs>
        <w:ind w:left="2980" w:hanging="284"/>
      </w:pPr>
      <w:rPr>
        <w:rFonts w:hint="default"/>
      </w:rPr>
    </w:lvl>
    <w:lvl w:ilvl="8" w:tentative="0">
      <w:start w:val="1"/>
      <w:numFmt w:val="none"/>
      <w:lvlText w:val=""/>
      <w:lvlJc w:val="left"/>
      <w:pPr>
        <w:tabs>
          <w:tab w:val="left" w:pos="2980"/>
        </w:tabs>
        <w:ind w:left="3264" w:hanging="284"/>
      </w:pPr>
      <w:rPr>
        <w:rFonts w:hint="default"/>
      </w:rPr>
    </w:lvl>
  </w:abstractNum>
  <w:abstractNum w:abstractNumId="2">
    <w:nsid w:val="55CE0DA5"/>
    <w:multiLevelType w:val="multilevel"/>
    <w:tmpl w:val="55CE0DA5"/>
    <w:lvl w:ilvl="0" w:tentative="0">
      <w:start w:val="1"/>
      <w:numFmt w:val="decimal"/>
      <w:pStyle w:val="2"/>
      <w:lvlText w:val="%1"/>
      <w:lvlJc w:val="left"/>
      <w:pPr>
        <w:ind w:left="432" w:hanging="432"/>
      </w:pPr>
    </w:lvl>
    <w:lvl w:ilvl="1" w:tentative="0">
      <w:start w:val="1"/>
      <w:numFmt w:val="decimal"/>
      <w:pStyle w:val="4"/>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pStyle w:val="10"/>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attachedTemplate r:id="rId1"/>
  <w:documentProtection w:edit="forms" w:enforcement="1" w:cryptProviderType="rsaFull" w:cryptAlgorithmClass="hash" w:cryptAlgorithmType="typeAny" w:cryptAlgorithmSid="4" w:cryptSpinCount="0" w:hash="xiUvUsmTX3xekA4rVFQNZFBRA2g=" w:salt="6vLUjqh9shTlfSKbhf39dA=="/>
  <w:defaultTabStop w:val="708"/>
  <w:autoHyphenation/>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77A"/>
    <w:rsid w:val="00024B1F"/>
    <w:rsid w:val="0004314B"/>
    <w:rsid w:val="00052126"/>
    <w:rsid w:val="00053CDF"/>
    <w:rsid w:val="00067518"/>
    <w:rsid w:val="00073868"/>
    <w:rsid w:val="00084B40"/>
    <w:rsid w:val="00097A70"/>
    <w:rsid w:val="000A0F92"/>
    <w:rsid w:val="000A12E2"/>
    <w:rsid w:val="000A7A40"/>
    <w:rsid w:val="000C5566"/>
    <w:rsid w:val="000D0CE5"/>
    <w:rsid w:val="000D175C"/>
    <w:rsid w:val="000D204D"/>
    <w:rsid w:val="000E137B"/>
    <w:rsid w:val="000F2CFF"/>
    <w:rsid w:val="00107BCE"/>
    <w:rsid w:val="00121113"/>
    <w:rsid w:val="00125D61"/>
    <w:rsid w:val="00125E6B"/>
    <w:rsid w:val="00167088"/>
    <w:rsid w:val="00170928"/>
    <w:rsid w:val="00175471"/>
    <w:rsid w:val="00187A29"/>
    <w:rsid w:val="00190C9C"/>
    <w:rsid w:val="00192B98"/>
    <w:rsid w:val="001977FC"/>
    <w:rsid w:val="001A1924"/>
    <w:rsid w:val="001A4D46"/>
    <w:rsid w:val="001B3C7B"/>
    <w:rsid w:val="001B761B"/>
    <w:rsid w:val="001C5BD9"/>
    <w:rsid w:val="001C7486"/>
    <w:rsid w:val="001E141B"/>
    <w:rsid w:val="001E5DA0"/>
    <w:rsid w:val="001F57B7"/>
    <w:rsid w:val="0020328E"/>
    <w:rsid w:val="002114F8"/>
    <w:rsid w:val="00222235"/>
    <w:rsid w:val="00230E32"/>
    <w:rsid w:val="002508B2"/>
    <w:rsid w:val="0025129E"/>
    <w:rsid w:val="002645B9"/>
    <w:rsid w:val="00265170"/>
    <w:rsid w:val="00270F3D"/>
    <w:rsid w:val="002819B2"/>
    <w:rsid w:val="002A2DC0"/>
    <w:rsid w:val="002B023A"/>
    <w:rsid w:val="002B3AD9"/>
    <w:rsid w:val="002B3D7B"/>
    <w:rsid w:val="002C5F0C"/>
    <w:rsid w:val="002E152E"/>
    <w:rsid w:val="002E58D6"/>
    <w:rsid w:val="00304434"/>
    <w:rsid w:val="0030460F"/>
    <w:rsid w:val="00314EE0"/>
    <w:rsid w:val="003212BF"/>
    <w:rsid w:val="0032176F"/>
    <w:rsid w:val="00325F1C"/>
    <w:rsid w:val="00330574"/>
    <w:rsid w:val="00330D57"/>
    <w:rsid w:val="003311F4"/>
    <w:rsid w:val="00351529"/>
    <w:rsid w:val="00352365"/>
    <w:rsid w:val="003609B0"/>
    <w:rsid w:val="00375958"/>
    <w:rsid w:val="003A7AC2"/>
    <w:rsid w:val="003D1917"/>
    <w:rsid w:val="003D57BE"/>
    <w:rsid w:val="003E4EE0"/>
    <w:rsid w:val="003F35E8"/>
    <w:rsid w:val="00402B73"/>
    <w:rsid w:val="004043DD"/>
    <w:rsid w:val="00433E3B"/>
    <w:rsid w:val="0043577A"/>
    <w:rsid w:val="00445B44"/>
    <w:rsid w:val="00485AA3"/>
    <w:rsid w:val="0049507F"/>
    <w:rsid w:val="004A1883"/>
    <w:rsid w:val="004B600B"/>
    <w:rsid w:val="004B6500"/>
    <w:rsid w:val="004B6F20"/>
    <w:rsid w:val="004C42A9"/>
    <w:rsid w:val="004D292C"/>
    <w:rsid w:val="004E05F0"/>
    <w:rsid w:val="004F25AB"/>
    <w:rsid w:val="005033C2"/>
    <w:rsid w:val="0051632D"/>
    <w:rsid w:val="00522559"/>
    <w:rsid w:val="00527E4B"/>
    <w:rsid w:val="005309AE"/>
    <w:rsid w:val="00533684"/>
    <w:rsid w:val="00550C18"/>
    <w:rsid w:val="005621A4"/>
    <w:rsid w:val="005837CD"/>
    <w:rsid w:val="00596625"/>
    <w:rsid w:val="005A0D19"/>
    <w:rsid w:val="005B1330"/>
    <w:rsid w:val="005B14A9"/>
    <w:rsid w:val="005C1E36"/>
    <w:rsid w:val="005C7857"/>
    <w:rsid w:val="005E53A3"/>
    <w:rsid w:val="005F624F"/>
    <w:rsid w:val="00603D94"/>
    <w:rsid w:val="0062610F"/>
    <w:rsid w:val="00640D45"/>
    <w:rsid w:val="0065744E"/>
    <w:rsid w:val="00662344"/>
    <w:rsid w:val="00672729"/>
    <w:rsid w:val="00672D39"/>
    <w:rsid w:val="0067352B"/>
    <w:rsid w:val="00675528"/>
    <w:rsid w:val="00692C1A"/>
    <w:rsid w:val="00692CC4"/>
    <w:rsid w:val="00694169"/>
    <w:rsid w:val="006B021B"/>
    <w:rsid w:val="006C73E4"/>
    <w:rsid w:val="006D5FEC"/>
    <w:rsid w:val="006F7FFB"/>
    <w:rsid w:val="00712002"/>
    <w:rsid w:val="00715E7B"/>
    <w:rsid w:val="00740C7E"/>
    <w:rsid w:val="007450D7"/>
    <w:rsid w:val="007515A9"/>
    <w:rsid w:val="00751833"/>
    <w:rsid w:val="00753FC2"/>
    <w:rsid w:val="007662F4"/>
    <w:rsid w:val="007677C5"/>
    <w:rsid w:val="0078514C"/>
    <w:rsid w:val="00794716"/>
    <w:rsid w:val="007B392B"/>
    <w:rsid w:val="007B5EDB"/>
    <w:rsid w:val="007C66A2"/>
    <w:rsid w:val="007E284C"/>
    <w:rsid w:val="007F3046"/>
    <w:rsid w:val="007F39C8"/>
    <w:rsid w:val="0080272E"/>
    <w:rsid w:val="00813AFE"/>
    <w:rsid w:val="00827FEE"/>
    <w:rsid w:val="008A053A"/>
    <w:rsid w:val="008B2AFE"/>
    <w:rsid w:val="008C2DF4"/>
    <w:rsid w:val="008D22DD"/>
    <w:rsid w:val="008D2FA4"/>
    <w:rsid w:val="008E1384"/>
    <w:rsid w:val="009007E0"/>
    <w:rsid w:val="00911F0A"/>
    <w:rsid w:val="009150A4"/>
    <w:rsid w:val="009232A8"/>
    <w:rsid w:val="00940C5C"/>
    <w:rsid w:val="0094113A"/>
    <w:rsid w:val="00974ECE"/>
    <w:rsid w:val="009A19F4"/>
    <w:rsid w:val="009A71F4"/>
    <w:rsid w:val="009B332C"/>
    <w:rsid w:val="009D03D2"/>
    <w:rsid w:val="009D19A7"/>
    <w:rsid w:val="009D367A"/>
    <w:rsid w:val="009E5AE7"/>
    <w:rsid w:val="009F16DB"/>
    <w:rsid w:val="00A005B6"/>
    <w:rsid w:val="00A136B2"/>
    <w:rsid w:val="00A16AF0"/>
    <w:rsid w:val="00A171AE"/>
    <w:rsid w:val="00A20FD5"/>
    <w:rsid w:val="00A217E2"/>
    <w:rsid w:val="00A36ECF"/>
    <w:rsid w:val="00A37BCA"/>
    <w:rsid w:val="00A523BB"/>
    <w:rsid w:val="00A52F9D"/>
    <w:rsid w:val="00A64BD5"/>
    <w:rsid w:val="00A96422"/>
    <w:rsid w:val="00AA06A6"/>
    <w:rsid w:val="00AB1FD8"/>
    <w:rsid w:val="00AC0E9B"/>
    <w:rsid w:val="00AC1D7E"/>
    <w:rsid w:val="00AC407C"/>
    <w:rsid w:val="00AD1551"/>
    <w:rsid w:val="00AD36D9"/>
    <w:rsid w:val="00B07497"/>
    <w:rsid w:val="00B252D5"/>
    <w:rsid w:val="00B3588F"/>
    <w:rsid w:val="00B372E5"/>
    <w:rsid w:val="00B52D44"/>
    <w:rsid w:val="00B63DF8"/>
    <w:rsid w:val="00B66C9C"/>
    <w:rsid w:val="00B76C52"/>
    <w:rsid w:val="00B80D4D"/>
    <w:rsid w:val="00B865CD"/>
    <w:rsid w:val="00B90469"/>
    <w:rsid w:val="00B94A90"/>
    <w:rsid w:val="00B9673C"/>
    <w:rsid w:val="00BA764F"/>
    <w:rsid w:val="00BC5A2D"/>
    <w:rsid w:val="00BD6804"/>
    <w:rsid w:val="00BE1AF6"/>
    <w:rsid w:val="00BE53CD"/>
    <w:rsid w:val="00BF2E4D"/>
    <w:rsid w:val="00C006A4"/>
    <w:rsid w:val="00C00E47"/>
    <w:rsid w:val="00C06135"/>
    <w:rsid w:val="00C156BF"/>
    <w:rsid w:val="00C20853"/>
    <w:rsid w:val="00C218B4"/>
    <w:rsid w:val="00C23058"/>
    <w:rsid w:val="00C258B0"/>
    <w:rsid w:val="00C41149"/>
    <w:rsid w:val="00C50236"/>
    <w:rsid w:val="00C50FF5"/>
    <w:rsid w:val="00C73F1B"/>
    <w:rsid w:val="00C87D23"/>
    <w:rsid w:val="00CB680A"/>
    <w:rsid w:val="00CC5461"/>
    <w:rsid w:val="00CC61D4"/>
    <w:rsid w:val="00CE2664"/>
    <w:rsid w:val="00D2490E"/>
    <w:rsid w:val="00D26184"/>
    <w:rsid w:val="00D348C6"/>
    <w:rsid w:val="00D3542B"/>
    <w:rsid w:val="00D40EB7"/>
    <w:rsid w:val="00D5244F"/>
    <w:rsid w:val="00D955AA"/>
    <w:rsid w:val="00DA5E6D"/>
    <w:rsid w:val="00DA5F23"/>
    <w:rsid w:val="00DA6BD5"/>
    <w:rsid w:val="00DD605C"/>
    <w:rsid w:val="00DE0A8C"/>
    <w:rsid w:val="00E0148A"/>
    <w:rsid w:val="00E05749"/>
    <w:rsid w:val="00E14A8B"/>
    <w:rsid w:val="00E21FE0"/>
    <w:rsid w:val="00E22DEA"/>
    <w:rsid w:val="00E2714C"/>
    <w:rsid w:val="00E7028F"/>
    <w:rsid w:val="00E95D61"/>
    <w:rsid w:val="00E96561"/>
    <w:rsid w:val="00E97C72"/>
    <w:rsid w:val="00EA64F7"/>
    <w:rsid w:val="00EC073F"/>
    <w:rsid w:val="00EE332C"/>
    <w:rsid w:val="00EF1CF7"/>
    <w:rsid w:val="00EF5D76"/>
    <w:rsid w:val="00EF7139"/>
    <w:rsid w:val="00F17CBD"/>
    <w:rsid w:val="00F22414"/>
    <w:rsid w:val="00F31022"/>
    <w:rsid w:val="00F6375E"/>
    <w:rsid w:val="00F64BCA"/>
    <w:rsid w:val="00F74239"/>
    <w:rsid w:val="00F83CBA"/>
    <w:rsid w:val="00FA3AB5"/>
    <w:rsid w:val="00FD38F0"/>
    <w:rsid w:val="00FD5FF4"/>
    <w:rsid w:val="00FD7E38"/>
    <w:rsid w:val="00FE32AE"/>
    <w:rsid w:val="00FE486F"/>
    <w:rsid w:val="00FF034B"/>
    <w:rsid w:val="117A0B2E"/>
    <w:rsid w:val="1D4F6B81"/>
    <w:rsid w:val="28A6098D"/>
    <w:rsid w:val="39F24943"/>
    <w:rsid w:val="470B001B"/>
    <w:rsid w:val="53A72D40"/>
    <w:rsid w:val="6FF529DA"/>
    <w:rsid w:val="7BC6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2" w:semiHidden="0" w:name="heading 1"/>
    <w:lsdException w:qFormat="1" w:unhideWhenUsed="0" w:uiPriority="2" w:semiHidden="0" w:name="heading 2"/>
    <w:lsdException w:qFormat="1" w:unhideWhenUsed="0" w:uiPriority="2" w:semiHidden="0" w:name="heading 3"/>
    <w:lsdException w:qFormat="1" w:unhideWhenUsed="0" w:uiPriority="2" w:semiHidden="0" w:name="heading 4"/>
    <w:lsdException w:qFormat="1" w:unhideWhenUsed="0" w:uiPriority="2"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nhideWhenUsed="0"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7" w:semiHidden="0" w:name="Strong"/>
    <w:lsdException w:qFormat="1" w:unhideWhenUsed="0" w:uiPriority="7"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8"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erdana" w:hAnsi="Verdana" w:eastAsia="Times New Roman" w:cs="Times New Roman"/>
      <w:lang w:val="en-US" w:eastAsia="en-US" w:bidi="ar-SA"/>
    </w:rPr>
  </w:style>
  <w:style w:type="paragraph" w:styleId="2">
    <w:name w:val="heading 1"/>
    <w:basedOn w:val="1"/>
    <w:next w:val="3"/>
    <w:link w:val="37"/>
    <w:qFormat/>
    <w:uiPriority w:val="2"/>
    <w:pPr>
      <w:numPr>
        <w:ilvl w:val="0"/>
        <w:numId w:val="1"/>
      </w:numPr>
      <w:pBdr>
        <w:bottom w:val="single" w:color="DB0720" w:sz="4" w:space="1"/>
        <w:between w:val="single" w:color="DB0720" w:sz="4" w:space="1"/>
      </w:pBdr>
      <w:tabs>
        <w:tab w:val="left" w:pos="426"/>
        <w:tab w:val="right" w:pos="9072"/>
      </w:tabs>
      <w:spacing w:before="480" w:after="60"/>
      <w:ind w:right="8"/>
      <w:jc w:val="both"/>
      <w:outlineLvl w:val="0"/>
    </w:pPr>
    <w:rPr>
      <w:rFonts w:eastAsia="Verdana" w:cs="Calibri"/>
      <w:color w:val="DB0720"/>
      <w:spacing w:val="5"/>
      <w:sz w:val="30"/>
      <w:szCs w:val="30"/>
      <w:lang w:val="de-DE"/>
    </w:rPr>
  </w:style>
  <w:style w:type="paragraph" w:styleId="4">
    <w:name w:val="heading 2"/>
    <w:basedOn w:val="1"/>
    <w:next w:val="5"/>
    <w:link w:val="36"/>
    <w:qFormat/>
    <w:uiPriority w:val="2"/>
    <w:pPr>
      <w:keepNext/>
      <w:numPr>
        <w:ilvl w:val="1"/>
        <w:numId w:val="1"/>
      </w:numPr>
      <w:tabs>
        <w:tab w:val="right" w:pos="9072"/>
      </w:tabs>
      <w:adjustRightInd w:val="0"/>
      <w:spacing w:before="360" w:after="240"/>
      <w:ind w:left="994" w:hanging="578"/>
      <w:outlineLvl w:val="1"/>
    </w:pPr>
    <w:rPr>
      <w:rFonts w:cs="Arial"/>
      <w:bCs/>
      <w:caps/>
      <w:color w:val="DB0720"/>
      <w:sz w:val="24"/>
      <w:szCs w:val="24"/>
      <w:lang w:eastAsia="de-DE"/>
    </w:rPr>
  </w:style>
  <w:style w:type="paragraph" w:styleId="6">
    <w:name w:val="heading 3"/>
    <w:basedOn w:val="1"/>
    <w:next w:val="7"/>
    <w:link w:val="38"/>
    <w:qFormat/>
    <w:uiPriority w:val="2"/>
    <w:pPr>
      <w:keepNext/>
      <w:keepLines/>
      <w:spacing w:before="200" w:after="200"/>
      <w:ind w:left="434" w:hanging="8"/>
      <w:jc w:val="both"/>
      <w:outlineLvl w:val="2"/>
    </w:pPr>
    <w:rPr>
      <w:rFonts w:eastAsia="宋体"/>
      <w:b/>
      <w:bCs/>
      <w:sz w:val="22"/>
      <w:szCs w:val="24"/>
      <w:lang w:val="de-DE" w:eastAsia="de-DE"/>
    </w:rPr>
  </w:style>
  <w:style w:type="paragraph" w:styleId="8">
    <w:name w:val="heading 4"/>
    <w:basedOn w:val="1"/>
    <w:next w:val="9"/>
    <w:link w:val="39"/>
    <w:qFormat/>
    <w:uiPriority w:val="2"/>
    <w:pPr>
      <w:keepNext/>
      <w:tabs>
        <w:tab w:val="right" w:pos="9072"/>
      </w:tabs>
      <w:spacing w:before="60" w:after="60"/>
      <w:ind w:left="1008"/>
      <w:outlineLvl w:val="3"/>
    </w:pPr>
    <w:rPr>
      <w:rFonts w:cs="Arial"/>
      <w:u w:val="single"/>
      <w:lang w:val="de-DE" w:eastAsia="de-DE"/>
    </w:rPr>
  </w:style>
  <w:style w:type="paragraph" w:styleId="10">
    <w:name w:val="heading 5"/>
    <w:basedOn w:val="1"/>
    <w:next w:val="1"/>
    <w:link w:val="40"/>
    <w:qFormat/>
    <w:uiPriority w:val="2"/>
    <w:pPr>
      <w:keepNext/>
      <w:numPr>
        <w:ilvl w:val="4"/>
        <w:numId w:val="1"/>
      </w:numPr>
      <w:spacing w:after="60"/>
      <w:outlineLvl w:val="4"/>
    </w:pPr>
    <w:rPr>
      <w:rFonts w:cs="Arial"/>
      <w:szCs w:val="24"/>
      <w:lang w:eastAsia="de-DE"/>
    </w:rPr>
  </w:style>
  <w:style w:type="paragraph" w:styleId="11">
    <w:name w:val="heading 6"/>
    <w:basedOn w:val="1"/>
    <w:next w:val="1"/>
    <w:link w:val="42"/>
    <w:qFormat/>
    <w:uiPriority w:val="9"/>
    <w:pPr>
      <w:keepNext/>
      <w:keepLines/>
      <w:spacing w:before="120" w:after="60"/>
      <w:ind w:left="993"/>
      <w:outlineLvl w:val="5"/>
    </w:pPr>
    <w:rPr>
      <w:rFonts w:eastAsia="黑体"/>
      <w:i/>
      <w:sz w:val="18"/>
      <w:szCs w:val="14"/>
      <w:lang w:val="de-DE" w:eastAsia="de-DE"/>
    </w:rPr>
  </w:style>
  <w:style w:type="paragraph" w:styleId="12">
    <w:name w:val="heading 7"/>
    <w:basedOn w:val="1"/>
    <w:next w:val="1"/>
    <w:link w:val="64"/>
    <w:qFormat/>
    <w:uiPriority w:val="9"/>
    <w:pPr>
      <w:keepNext/>
      <w:keepLines/>
      <w:spacing w:before="60"/>
      <w:ind w:left="1008"/>
      <w:outlineLvl w:val="6"/>
    </w:pPr>
    <w:rPr>
      <w:rFonts w:eastAsia="黑体"/>
      <w:i/>
      <w:iCs/>
      <w:color w:val="DB0720"/>
      <w:sz w:val="16"/>
      <w:szCs w:val="14"/>
      <w:lang w:eastAsia="de-AT"/>
    </w:rPr>
  </w:style>
  <w:style w:type="paragraph" w:styleId="13">
    <w:name w:val="heading 8"/>
    <w:basedOn w:val="1"/>
    <w:next w:val="1"/>
    <w:link w:val="65"/>
    <w:qFormat/>
    <w:uiPriority w:val="9"/>
    <w:pPr>
      <w:keepNext/>
      <w:spacing w:before="20" w:after="20"/>
      <w:ind w:left="1834"/>
      <w:outlineLvl w:val="7"/>
    </w:pPr>
    <w:rPr>
      <w:rFonts w:cs="Arial"/>
      <w:b/>
      <w:bCs/>
      <w:sz w:val="14"/>
      <w:szCs w:val="14"/>
      <w:lang w:val="de-DE" w:eastAsia="de-DE"/>
    </w:rPr>
  </w:style>
  <w:style w:type="paragraph" w:styleId="14">
    <w:name w:val="heading 9"/>
    <w:basedOn w:val="1"/>
    <w:next w:val="1"/>
    <w:link w:val="66"/>
    <w:unhideWhenUsed/>
    <w:qFormat/>
    <w:uiPriority w:val="9"/>
    <w:pPr>
      <w:keepNext/>
      <w:keepLines/>
      <w:spacing w:before="40"/>
      <w:ind w:left="1834"/>
      <w:outlineLvl w:val="8"/>
    </w:pPr>
    <w:rPr>
      <w:rFonts w:eastAsia="黑体"/>
      <w:i/>
      <w:iCs/>
      <w:color w:val="AEAAAA"/>
      <w:sz w:val="14"/>
      <w:szCs w:val="14"/>
      <w:lang w:val="de-DE" w:eastAsia="de-DE"/>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3">
    <w:name w:val="Fließtext Ebene 1"/>
    <w:basedOn w:val="1"/>
    <w:qFormat/>
    <w:uiPriority w:val="0"/>
    <w:pPr>
      <w:spacing w:before="60" w:after="120" w:line="259" w:lineRule="auto"/>
      <w:jc w:val="both"/>
    </w:pPr>
    <w:rPr>
      <w:rFonts w:cs="Arial"/>
      <w:szCs w:val="14"/>
      <w:lang w:val="de-DE"/>
    </w:rPr>
  </w:style>
  <w:style w:type="paragraph" w:customStyle="1" w:styleId="5">
    <w:name w:val="Fließtext Ebene 2"/>
    <w:basedOn w:val="3"/>
    <w:qFormat/>
    <w:uiPriority w:val="0"/>
    <w:pPr>
      <w:ind w:left="420"/>
    </w:pPr>
  </w:style>
  <w:style w:type="paragraph" w:customStyle="1" w:styleId="7">
    <w:name w:val="Fließtext Ebene 3"/>
    <w:basedOn w:val="3"/>
    <w:qFormat/>
    <w:uiPriority w:val="4"/>
    <w:pPr>
      <w:ind w:left="1008"/>
    </w:pPr>
    <w:rPr>
      <w:lang w:eastAsia="de-DE"/>
    </w:rPr>
  </w:style>
  <w:style w:type="paragraph" w:customStyle="1" w:styleId="9">
    <w:name w:val="Fließtext Ebene 4"/>
    <w:basedOn w:val="3"/>
    <w:qFormat/>
    <w:uiPriority w:val="4"/>
    <w:pPr>
      <w:ind w:left="1848"/>
    </w:pPr>
    <w:rPr>
      <w:sz w:val="14"/>
      <w:lang w:eastAsia="de-DE"/>
    </w:rPr>
  </w:style>
  <w:style w:type="paragraph" w:styleId="15">
    <w:name w:val="List Number"/>
    <w:basedOn w:val="1"/>
    <w:qFormat/>
    <w:uiPriority w:val="1"/>
    <w:pPr>
      <w:numPr>
        <w:ilvl w:val="0"/>
        <w:numId w:val="2"/>
      </w:numPr>
      <w:tabs>
        <w:tab w:val="clear" w:pos="360"/>
      </w:tabs>
      <w:spacing w:before="60" w:after="60"/>
      <w:ind w:left="840" w:hanging="294"/>
      <w:contextualSpacing/>
    </w:pPr>
    <w:rPr>
      <w:rFonts w:cs="Arial"/>
      <w:szCs w:val="14"/>
      <w:lang w:val="de-DE"/>
    </w:rPr>
  </w:style>
  <w:style w:type="paragraph" w:styleId="16">
    <w:name w:val="caption"/>
    <w:basedOn w:val="1"/>
    <w:next w:val="1"/>
    <w:qFormat/>
    <w:uiPriority w:val="35"/>
    <w:pPr>
      <w:spacing w:after="200"/>
      <w:ind w:left="426"/>
    </w:pPr>
    <w:rPr>
      <w:iCs/>
      <w:color w:val="505050" w:themeColor="text2"/>
      <w:sz w:val="18"/>
      <w:szCs w:val="18"/>
      <w14:textFill>
        <w14:solidFill>
          <w14:schemeClr w14:val="tx2"/>
        </w14:solidFill>
      </w14:textFill>
    </w:rPr>
  </w:style>
  <w:style w:type="paragraph" w:styleId="17">
    <w:name w:val="annotation text"/>
    <w:basedOn w:val="1"/>
    <w:link w:val="81"/>
    <w:semiHidden/>
    <w:unhideWhenUsed/>
    <w:qFormat/>
    <w:uiPriority w:val="99"/>
  </w:style>
  <w:style w:type="paragraph" w:styleId="18">
    <w:name w:val="Balloon Text"/>
    <w:basedOn w:val="1"/>
    <w:link w:val="72"/>
    <w:semiHidden/>
    <w:unhideWhenUsed/>
    <w:qFormat/>
    <w:uiPriority w:val="99"/>
    <w:rPr>
      <w:rFonts w:ascii="Segoe UI" w:hAnsi="Segoe UI" w:cs="Segoe UI"/>
      <w:sz w:val="18"/>
      <w:szCs w:val="18"/>
    </w:rPr>
  </w:style>
  <w:style w:type="paragraph" w:styleId="19">
    <w:name w:val="footer"/>
    <w:basedOn w:val="1"/>
    <w:link w:val="58"/>
    <w:unhideWhenUsed/>
    <w:qFormat/>
    <w:uiPriority w:val="0"/>
    <w:pPr>
      <w:framePr w:hSpace="142" w:wrap="around" w:vAnchor="text" w:hAnchor="margin" w:xAlign="center" w:y="1"/>
      <w:suppressOverlap/>
      <w:tabs>
        <w:tab w:val="right" w:pos="9072"/>
      </w:tabs>
    </w:pPr>
    <w:rPr>
      <w:rFonts w:cs="Arial"/>
      <w:sz w:val="12"/>
      <w:szCs w:val="12"/>
      <w:lang w:eastAsia="de-AT"/>
    </w:rPr>
  </w:style>
  <w:style w:type="paragraph" w:styleId="20">
    <w:name w:val="header"/>
    <w:basedOn w:val="1"/>
    <w:link w:val="57"/>
    <w:unhideWhenUsed/>
    <w:qFormat/>
    <w:uiPriority w:val="99"/>
    <w:pPr>
      <w:tabs>
        <w:tab w:val="center" w:pos="4703"/>
        <w:tab w:val="right" w:pos="9406"/>
      </w:tabs>
    </w:pPr>
  </w:style>
  <w:style w:type="paragraph" w:styleId="21">
    <w:name w:val="toc 1"/>
    <w:basedOn w:val="1"/>
    <w:next w:val="1"/>
    <w:autoRedefine/>
    <w:qFormat/>
    <w:uiPriority w:val="39"/>
    <w:pPr>
      <w:pBdr>
        <w:between w:val="single" w:color="FFFFFF" w:sz="48" w:space="1"/>
      </w:pBdr>
      <w:shd w:val="clear" w:color="auto" w:fill="D9D9D9"/>
      <w:tabs>
        <w:tab w:val="right" w:pos="9393"/>
      </w:tabs>
      <w:spacing w:before="240" w:after="240" w:line="300" w:lineRule="exact"/>
      <w:ind w:left="425" w:right="91" w:hanging="425"/>
      <w:contextualSpacing/>
    </w:pPr>
    <w:rPr>
      <w:rFonts w:eastAsia="宋体"/>
      <w:b/>
      <w:color w:val="FFFFFF"/>
      <w:sz w:val="14"/>
      <w:szCs w:val="14"/>
      <w:lang w:eastAsia="de-DE"/>
    </w:rPr>
  </w:style>
  <w:style w:type="paragraph" w:styleId="22">
    <w:name w:val="Subtitle"/>
    <w:basedOn w:val="1"/>
    <w:next w:val="1"/>
    <w:link w:val="45"/>
    <w:qFormat/>
    <w:uiPriority w:val="0"/>
    <w:pPr>
      <w:spacing w:before="300" w:after="300"/>
      <w:ind w:left="28" w:right="22"/>
      <w:contextualSpacing/>
      <w:jc w:val="center"/>
    </w:pPr>
    <w:rPr>
      <w:rFonts w:eastAsia="宋体"/>
      <w:b/>
      <w:color w:val="000000"/>
      <w:spacing w:val="5"/>
      <w:kern w:val="28"/>
      <w:sz w:val="40"/>
      <w:szCs w:val="40"/>
      <w:lang w:val="de-DE"/>
    </w:rPr>
  </w:style>
  <w:style w:type="paragraph" w:styleId="23">
    <w:name w:val="table of figures"/>
    <w:basedOn w:val="1"/>
    <w:next w:val="1"/>
    <w:qFormat/>
    <w:uiPriority w:val="99"/>
    <w:pPr>
      <w:tabs>
        <w:tab w:val="right" w:leader="dot" w:pos="10153"/>
      </w:tabs>
      <w:spacing w:before="60"/>
    </w:pPr>
    <w:rPr>
      <w:rFonts w:cs="Arial"/>
      <w:szCs w:val="14"/>
      <w:lang w:val="de-DE" w:eastAsia="de-AT"/>
    </w:rPr>
  </w:style>
  <w:style w:type="paragraph" w:styleId="24">
    <w:name w:val="toc 2"/>
    <w:basedOn w:val="1"/>
    <w:next w:val="1"/>
    <w:autoRedefine/>
    <w:qFormat/>
    <w:uiPriority w:val="39"/>
    <w:pPr>
      <w:pBdr>
        <w:bottom w:val="single" w:color="D9D9D9" w:sz="8" w:space="1"/>
        <w:between w:val="single" w:color="D9D9D9" w:sz="8" w:space="1"/>
      </w:pBdr>
      <w:tabs>
        <w:tab w:val="right" w:pos="9393"/>
      </w:tabs>
      <w:spacing w:before="60" w:line="288" w:lineRule="auto"/>
      <w:ind w:left="425" w:right="91" w:hanging="425"/>
    </w:pPr>
    <w:rPr>
      <w:rFonts w:eastAsia="宋体"/>
      <w:bCs/>
      <w:sz w:val="14"/>
      <w:szCs w:val="14"/>
      <w:lang w:eastAsia="de-DE"/>
    </w:rPr>
  </w:style>
  <w:style w:type="paragraph" w:styleId="25">
    <w:name w:val="Normal (Web)"/>
    <w:basedOn w:val="1"/>
    <w:semiHidden/>
    <w:unhideWhenUsed/>
    <w:qFormat/>
    <w:uiPriority w:val="99"/>
    <w:pPr>
      <w:spacing w:before="100" w:beforeAutospacing="1" w:after="100" w:afterAutospacing="1"/>
    </w:pPr>
    <w:rPr>
      <w:rFonts w:ascii="Times New Roman" w:hAnsi="Times New Roman"/>
      <w:sz w:val="24"/>
      <w:szCs w:val="24"/>
    </w:rPr>
  </w:style>
  <w:style w:type="paragraph" w:styleId="26">
    <w:name w:val="Title"/>
    <w:basedOn w:val="1"/>
    <w:next w:val="1"/>
    <w:link w:val="44"/>
    <w:qFormat/>
    <w:uiPriority w:val="0"/>
    <w:pPr>
      <w:spacing w:before="4000" w:after="300"/>
      <w:ind w:left="14" w:right="8"/>
      <w:contextualSpacing/>
      <w:jc w:val="center"/>
    </w:pPr>
    <w:rPr>
      <w:rFonts w:eastAsia="宋体"/>
      <w:b/>
      <w:color w:val="000000"/>
      <w:spacing w:val="5"/>
      <w:kern w:val="28"/>
      <w:sz w:val="96"/>
      <w:szCs w:val="52"/>
      <w:lang w:val="de-DE"/>
    </w:rPr>
  </w:style>
  <w:style w:type="paragraph" w:styleId="27">
    <w:name w:val="annotation subject"/>
    <w:basedOn w:val="17"/>
    <w:next w:val="17"/>
    <w:link w:val="82"/>
    <w:semiHidden/>
    <w:unhideWhenUsed/>
    <w:qFormat/>
    <w:uiPriority w:val="99"/>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7"/>
    <w:rPr>
      <w:rFonts w:ascii="Verdana" w:hAnsi="Verdana"/>
      <w:b/>
      <w:bCs/>
    </w:rPr>
  </w:style>
  <w:style w:type="character" w:styleId="32">
    <w:name w:val="FollowedHyperlink"/>
    <w:semiHidden/>
    <w:unhideWhenUsed/>
    <w:qFormat/>
    <w:uiPriority w:val="99"/>
    <w:rPr>
      <w:color w:val="954F72"/>
      <w:u w:val="single"/>
    </w:rPr>
  </w:style>
  <w:style w:type="character" w:styleId="33">
    <w:name w:val="Emphasis"/>
    <w:qFormat/>
    <w:uiPriority w:val="7"/>
    <w:rPr>
      <w:rFonts w:ascii="Verdana" w:hAnsi="Verdana"/>
      <w:i/>
      <w:iCs/>
    </w:rPr>
  </w:style>
  <w:style w:type="character" w:styleId="34">
    <w:name w:val="Hyperlink"/>
    <w:unhideWhenUsed/>
    <w:qFormat/>
    <w:uiPriority w:val="99"/>
    <w:rPr>
      <w:rFonts w:ascii="Verdana" w:hAnsi="Verdana"/>
      <w:color w:val="DB0720"/>
      <w:sz w:val="20"/>
      <w:u w:val="single"/>
    </w:rPr>
  </w:style>
  <w:style w:type="character" w:styleId="35">
    <w:name w:val="annotation reference"/>
    <w:basedOn w:val="30"/>
    <w:semiHidden/>
    <w:unhideWhenUsed/>
    <w:qFormat/>
    <w:uiPriority w:val="99"/>
    <w:rPr>
      <w:sz w:val="16"/>
      <w:szCs w:val="16"/>
    </w:rPr>
  </w:style>
  <w:style w:type="character" w:customStyle="1" w:styleId="36">
    <w:name w:val="Heading 2 Char"/>
    <w:link w:val="4"/>
    <w:qFormat/>
    <w:uiPriority w:val="2"/>
    <w:rPr>
      <w:rFonts w:ascii="Verdana" w:hAnsi="Verdana" w:cs="Arial"/>
      <w:bCs/>
      <w:caps/>
      <w:color w:val="DB0720"/>
      <w:sz w:val="24"/>
      <w:szCs w:val="24"/>
      <w:lang w:val="de-AT" w:eastAsia="de-DE"/>
    </w:rPr>
  </w:style>
  <w:style w:type="character" w:customStyle="1" w:styleId="37">
    <w:name w:val="Heading 1 Char"/>
    <w:link w:val="2"/>
    <w:qFormat/>
    <w:uiPriority w:val="2"/>
    <w:rPr>
      <w:rFonts w:ascii="Verdana" w:hAnsi="Verdana" w:eastAsia="Verdana" w:cs="Calibri"/>
      <w:color w:val="DB0720"/>
      <w:spacing w:val="5"/>
      <w:sz w:val="30"/>
      <w:szCs w:val="30"/>
      <w:lang w:val="de-DE"/>
    </w:rPr>
  </w:style>
  <w:style w:type="character" w:customStyle="1" w:styleId="38">
    <w:name w:val="Heading 3 Char"/>
    <w:link w:val="6"/>
    <w:qFormat/>
    <w:uiPriority w:val="2"/>
    <w:rPr>
      <w:rFonts w:ascii="Verdana" w:hAnsi="Verdana" w:eastAsia="宋体"/>
      <w:b/>
      <w:bCs/>
      <w:sz w:val="22"/>
      <w:szCs w:val="24"/>
      <w:lang w:val="de-DE" w:eastAsia="de-DE"/>
    </w:rPr>
  </w:style>
  <w:style w:type="character" w:customStyle="1" w:styleId="39">
    <w:name w:val="Heading 4 Char"/>
    <w:link w:val="8"/>
    <w:qFormat/>
    <w:uiPriority w:val="2"/>
    <w:rPr>
      <w:rFonts w:ascii="Verdana" w:hAnsi="Verdana" w:cs="Arial"/>
      <w:u w:val="single"/>
      <w:lang w:val="de-DE" w:eastAsia="de-DE"/>
    </w:rPr>
  </w:style>
  <w:style w:type="character" w:customStyle="1" w:styleId="40">
    <w:name w:val="Heading 5 Char"/>
    <w:link w:val="10"/>
    <w:qFormat/>
    <w:uiPriority w:val="2"/>
    <w:rPr>
      <w:rFonts w:ascii="Verdana" w:hAnsi="Verdana" w:cs="Arial"/>
      <w:szCs w:val="24"/>
      <w:lang w:eastAsia="de-DE"/>
    </w:rPr>
  </w:style>
  <w:style w:type="paragraph" w:styleId="41">
    <w:name w:val="List Paragraph"/>
    <w:basedOn w:val="3"/>
    <w:qFormat/>
    <w:uiPriority w:val="1"/>
    <w:pPr>
      <w:numPr>
        <w:ilvl w:val="0"/>
        <w:numId w:val="3"/>
      </w:numPr>
    </w:pPr>
    <w:rPr>
      <w:lang w:eastAsia="de-DE"/>
    </w:rPr>
  </w:style>
  <w:style w:type="character" w:customStyle="1" w:styleId="42">
    <w:name w:val="Heading 6 Char"/>
    <w:link w:val="11"/>
    <w:qFormat/>
    <w:uiPriority w:val="9"/>
    <w:rPr>
      <w:rFonts w:ascii="Verdana" w:hAnsi="Verdana" w:eastAsia="黑体"/>
      <w:i/>
      <w:sz w:val="18"/>
      <w:szCs w:val="14"/>
      <w:lang w:val="de-DE" w:eastAsia="de-DE"/>
    </w:rPr>
  </w:style>
  <w:style w:type="paragraph" w:customStyle="1" w:styleId="43">
    <w:name w:val="Titel Dokument"/>
    <w:basedOn w:val="26"/>
    <w:next w:val="22"/>
    <w:semiHidden/>
    <w:qFormat/>
    <w:uiPriority w:val="0"/>
    <w:pPr>
      <w:pBdr>
        <w:bottom w:val="single" w:color="DB071F" w:sz="6" w:space="1"/>
      </w:pBdr>
      <w:tabs>
        <w:tab w:val="center" w:pos="4536"/>
        <w:tab w:val="right" w:pos="9072"/>
      </w:tabs>
      <w:spacing w:before="3000"/>
      <w:ind w:right="-57"/>
    </w:pPr>
    <w:rPr>
      <w:b w:val="0"/>
      <w:caps/>
      <w:color w:val="DB071F"/>
      <w:sz w:val="44"/>
      <w:lang w:eastAsia="de-AT"/>
    </w:rPr>
  </w:style>
  <w:style w:type="character" w:customStyle="1" w:styleId="44">
    <w:name w:val="Title Char"/>
    <w:link w:val="26"/>
    <w:qFormat/>
    <w:uiPriority w:val="0"/>
    <w:rPr>
      <w:rFonts w:ascii="Verdana" w:hAnsi="Verdana" w:eastAsia="宋体"/>
      <w:b/>
      <w:color w:val="000000"/>
      <w:spacing w:val="5"/>
      <w:kern w:val="28"/>
      <w:sz w:val="96"/>
      <w:szCs w:val="52"/>
      <w:lang w:val="de-DE"/>
    </w:rPr>
  </w:style>
  <w:style w:type="character" w:customStyle="1" w:styleId="45">
    <w:name w:val="Subtitle Char"/>
    <w:link w:val="22"/>
    <w:qFormat/>
    <w:uiPriority w:val="0"/>
    <w:rPr>
      <w:rFonts w:ascii="Verdana" w:hAnsi="Verdana" w:eastAsia="宋体"/>
      <w:b/>
      <w:color w:val="000000"/>
      <w:spacing w:val="5"/>
      <w:kern w:val="28"/>
      <w:sz w:val="40"/>
      <w:szCs w:val="40"/>
      <w:lang w:val="de-DE"/>
    </w:rPr>
  </w:style>
  <w:style w:type="paragraph" w:customStyle="1" w:styleId="46">
    <w:name w:val="Tabellenüberschrift 1"/>
    <w:basedOn w:val="1"/>
    <w:qFormat/>
    <w:uiPriority w:val="3"/>
    <w:pPr>
      <w:framePr w:hSpace="180" w:wrap="around" w:vAnchor="text" w:hAnchor="margin" w:y="75"/>
      <w:tabs>
        <w:tab w:val="right" w:pos="9072"/>
      </w:tabs>
      <w:spacing w:before="240"/>
      <w:ind w:left="-77"/>
    </w:pPr>
    <w:rPr>
      <w:caps/>
      <w:color w:val="DB071F"/>
      <w:w w:val="105"/>
      <w:sz w:val="18"/>
      <w:szCs w:val="18"/>
      <w:lang w:eastAsia="de-AT"/>
    </w:rPr>
  </w:style>
  <w:style w:type="paragraph" w:customStyle="1" w:styleId="47">
    <w:name w:val="Tabellenzellenüberschrift 1"/>
    <w:basedOn w:val="1"/>
    <w:qFormat/>
    <w:uiPriority w:val="3"/>
    <w:pPr>
      <w:tabs>
        <w:tab w:val="center" w:pos="813"/>
      </w:tabs>
      <w:spacing w:before="20" w:after="20"/>
      <w:jc w:val="center"/>
    </w:pPr>
    <w:rPr>
      <w:rFonts w:cs="Arial"/>
      <w:b/>
      <w:color w:val="FFFFFF" w:themeColor="background1"/>
      <w:spacing w:val="-12"/>
      <w:lang w:val="de-CH"/>
      <w14:textFill>
        <w14:solidFill>
          <w14:schemeClr w14:val="bg1"/>
        </w14:solidFill>
      </w14:textFill>
    </w:rPr>
  </w:style>
  <w:style w:type="character" w:customStyle="1" w:styleId="48">
    <w:name w:val="Book Title1"/>
    <w:qFormat/>
    <w:uiPriority w:val="33"/>
    <w:rPr>
      <w:rFonts w:ascii="Verdana" w:hAnsi="Verdana"/>
      <w:b/>
      <w:bCs/>
      <w:i/>
      <w:iCs/>
      <w:spacing w:val="5"/>
    </w:rPr>
  </w:style>
  <w:style w:type="character" w:customStyle="1" w:styleId="49">
    <w:name w:val="Intense Reference1"/>
    <w:qFormat/>
    <w:uiPriority w:val="32"/>
    <w:rPr>
      <w:rFonts w:ascii="Verdana" w:hAnsi="Verdana"/>
      <w:b/>
      <w:bCs/>
      <w:smallCaps/>
      <w:color w:val="DB0720"/>
      <w:spacing w:val="5"/>
    </w:rPr>
  </w:style>
  <w:style w:type="character" w:customStyle="1" w:styleId="50">
    <w:name w:val="Subtle Reference1"/>
    <w:qFormat/>
    <w:uiPriority w:val="31"/>
    <w:rPr>
      <w:rFonts w:ascii="Verdana" w:hAnsi="Verdana"/>
      <w:smallCaps/>
      <w:color w:val="5A5A5A"/>
    </w:rPr>
  </w:style>
  <w:style w:type="character" w:customStyle="1" w:styleId="51">
    <w:name w:val="Intense Emphasis1"/>
    <w:qFormat/>
    <w:uiPriority w:val="21"/>
    <w:rPr>
      <w:rFonts w:ascii="Verdana" w:hAnsi="Verdana"/>
      <w:i/>
      <w:iCs/>
      <w:color w:val="DB0720"/>
    </w:rPr>
  </w:style>
  <w:style w:type="character" w:customStyle="1" w:styleId="52">
    <w:name w:val="Subtle Emphasis1"/>
    <w:qFormat/>
    <w:uiPriority w:val="19"/>
    <w:rPr>
      <w:rFonts w:ascii="Verdana" w:hAnsi="Verdana"/>
      <w:i/>
      <w:iCs/>
      <w:color w:val="auto"/>
    </w:rPr>
  </w:style>
  <w:style w:type="paragraph" w:styleId="53">
    <w:name w:val="Quote"/>
    <w:basedOn w:val="1"/>
    <w:next w:val="1"/>
    <w:link w:val="54"/>
    <w:qFormat/>
    <w:uiPriority w:val="29"/>
    <w:pPr>
      <w:spacing w:before="200" w:after="160"/>
      <w:ind w:left="672" w:right="660"/>
      <w:jc w:val="center"/>
    </w:pPr>
    <w:rPr>
      <w:i/>
      <w:iCs/>
      <w:color w:val="FFFFFF"/>
    </w:rPr>
  </w:style>
  <w:style w:type="character" w:customStyle="1" w:styleId="54">
    <w:name w:val="Quote Char"/>
    <w:link w:val="53"/>
    <w:qFormat/>
    <w:uiPriority w:val="29"/>
    <w:rPr>
      <w:rFonts w:ascii="Verdana" w:hAnsi="Verdana"/>
      <w:i/>
      <w:iCs/>
      <w:color w:val="FFFFFF"/>
      <w:lang w:val="de-AT"/>
    </w:rPr>
  </w:style>
  <w:style w:type="character" w:customStyle="1" w:styleId="55">
    <w:name w:val="Zitat kurz"/>
    <w:qFormat/>
    <w:uiPriority w:val="8"/>
    <w:rPr>
      <w:i/>
      <w:color w:val="505050"/>
    </w:rPr>
  </w:style>
  <w:style w:type="table" w:customStyle="1" w:styleId="56">
    <w:name w:val="Tabelle mit hellem Gitternetz1"/>
    <w:basedOn w:val="28"/>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customStyle="1" w:styleId="57">
    <w:name w:val="Header Char"/>
    <w:link w:val="20"/>
    <w:qFormat/>
    <w:uiPriority w:val="99"/>
    <w:rPr>
      <w:rFonts w:ascii="Verdana" w:hAnsi="Verdana"/>
      <w:lang w:val="de-AT"/>
    </w:rPr>
  </w:style>
  <w:style w:type="character" w:customStyle="1" w:styleId="58">
    <w:name w:val="Footer Char"/>
    <w:link w:val="19"/>
    <w:qFormat/>
    <w:uiPriority w:val="0"/>
    <w:rPr>
      <w:rFonts w:ascii="Verdana" w:hAnsi="Verdana" w:cs="Arial"/>
      <w:sz w:val="12"/>
      <w:szCs w:val="12"/>
      <w:lang w:val="de-AT" w:eastAsia="de-AT"/>
    </w:rPr>
  </w:style>
  <w:style w:type="paragraph" w:customStyle="1" w:styleId="59">
    <w:name w:val="Kurztitel Kopfzeile"/>
    <w:basedOn w:val="26"/>
    <w:qFormat/>
    <w:uiPriority w:val="0"/>
    <w:pPr>
      <w:spacing w:before="60"/>
      <w:ind w:left="0" w:right="6"/>
    </w:pPr>
    <w:rPr>
      <w:color w:val="FFFFFF"/>
      <w:sz w:val="32"/>
      <w:szCs w:val="32"/>
      <w:lang w:val="de-AT" w:eastAsia="de-AT"/>
    </w:rPr>
  </w:style>
  <w:style w:type="paragraph" w:customStyle="1" w:styleId="60">
    <w:name w:val="TOC Heading1"/>
    <w:basedOn w:val="1"/>
    <w:next w:val="3"/>
    <w:unhideWhenUsed/>
    <w:qFormat/>
    <w:uiPriority w:val="39"/>
    <w:pPr>
      <w:keepLines/>
      <w:spacing w:before="240" w:after="360"/>
      <w:ind w:right="8"/>
      <w:jc w:val="both"/>
    </w:pPr>
    <w:rPr>
      <w:rFonts w:eastAsia="黑体"/>
      <w:bCs/>
      <w:color w:val="DB0720"/>
      <w:spacing w:val="5"/>
      <w:sz w:val="36"/>
      <w:szCs w:val="32"/>
      <w:lang w:val="de-DE" w:eastAsia="de-AT"/>
    </w:rPr>
  </w:style>
  <w:style w:type="table" w:customStyle="1" w:styleId="61">
    <w:name w:val="Tabellenraster1"/>
    <w:basedOn w:val="28"/>
    <w:qFormat/>
    <w:uiPriority w:val="0"/>
    <w:rPr>
      <w:rFonts w:ascii="Calibri Light" w:hAnsi="Calibri Light"/>
      <w:sz w:val="22"/>
      <w:szCs w:val="22"/>
      <w:lang w:val="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
    <w:name w:val="Copyright"/>
    <w:qFormat/>
    <w:uiPriority w:val="2"/>
    <w:rPr>
      <w:rFonts w:ascii="Verdana" w:hAnsi="Verdana"/>
      <w:color w:val="000000"/>
      <w:sz w:val="10"/>
    </w:rPr>
  </w:style>
  <w:style w:type="paragraph" w:customStyle="1" w:styleId="63">
    <w:name w:val="Formatvorlage1"/>
    <w:basedOn w:val="1"/>
    <w:qFormat/>
    <w:uiPriority w:val="2"/>
    <w:pPr>
      <w:tabs>
        <w:tab w:val="right" w:pos="9072"/>
      </w:tabs>
      <w:spacing w:before="60" w:after="60"/>
    </w:pPr>
    <w:rPr>
      <w:rFonts w:cs="Arial"/>
      <w:color w:val="FFFFFF"/>
      <w:sz w:val="10"/>
      <w:szCs w:val="14"/>
      <w:lang w:eastAsia="de-AT"/>
    </w:rPr>
  </w:style>
  <w:style w:type="character" w:customStyle="1" w:styleId="64">
    <w:name w:val="Heading 7 Char"/>
    <w:link w:val="12"/>
    <w:qFormat/>
    <w:uiPriority w:val="9"/>
    <w:rPr>
      <w:rFonts w:ascii="Verdana" w:hAnsi="Verdana" w:eastAsia="黑体"/>
      <w:i/>
      <w:iCs/>
      <w:color w:val="DB0720"/>
      <w:sz w:val="16"/>
      <w:szCs w:val="14"/>
      <w:lang w:val="de-AT" w:eastAsia="de-AT"/>
    </w:rPr>
  </w:style>
  <w:style w:type="character" w:customStyle="1" w:styleId="65">
    <w:name w:val="Heading 8 Char"/>
    <w:link w:val="13"/>
    <w:qFormat/>
    <w:uiPriority w:val="9"/>
    <w:rPr>
      <w:rFonts w:ascii="Verdana" w:hAnsi="Verdana" w:cs="Arial"/>
      <w:b/>
      <w:bCs/>
      <w:sz w:val="14"/>
      <w:szCs w:val="14"/>
      <w:lang w:val="de-DE" w:eastAsia="de-DE"/>
    </w:rPr>
  </w:style>
  <w:style w:type="character" w:customStyle="1" w:styleId="66">
    <w:name w:val="Heading 9 Char"/>
    <w:link w:val="14"/>
    <w:qFormat/>
    <w:uiPriority w:val="9"/>
    <w:rPr>
      <w:rFonts w:ascii="Verdana" w:hAnsi="Verdana" w:eastAsia="黑体"/>
      <w:i/>
      <w:iCs/>
      <w:color w:val="AEAAAA"/>
      <w:sz w:val="14"/>
      <w:szCs w:val="14"/>
      <w:lang w:val="de-DE" w:eastAsia="de-DE"/>
    </w:rPr>
  </w:style>
  <w:style w:type="paragraph" w:customStyle="1" w:styleId="67">
    <w:name w:val="Iconverzeichnis"/>
    <w:basedOn w:val="1"/>
    <w:qFormat/>
    <w:uiPriority w:val="0"/>
    <w:pPr>
      <w:spacing w:before="60"/>
      <w:ind w:left="397"/>
    </w:pPr>
    <w:rPr>
      <w:rFonts w:cs="Arial"/>
      <w:szCs w:val="14"/>
      <w:lang w:eastAsia="de-AT"/>
    </w:rPr>
  </w:style>
  <w:style w:type="paragraph" w:customStyle="1" w:styleId="68">
    <w:name w:val="Hinweis löschen"/>
    <w:basedOn w:val="1"/>
    <w:qFormat/>
    <w:uiPriority w:val="0"/>
    <w:pPr>
      <w:tabs>
        <w:tab w:val="right" w:pos="9072"/>
      </w:tabs>
      <w:spacing w:before="60" w:after="60"/>
      <w:ind w:left="406"/>
    </w:pPr>
    <w:rPr>
      <w:rFonts w:cs="Arial"/>
      <w:color w:val="FFC000"/>
      <w:szCs w:val="14"/>
      <w:lang w:val="de-DE"/>
    </w:rPr>
  </w:style>
  <w:style w:type="paragraph" w:customStyle="1" w:styleId="69">
    <w:name w:val="Kontakt"/>
    <w:basedOn w:val="1"/>
    <w:qFormat/>
    <w:uiPriority w:val="3"/>
    <w:pPr>
      <w:framePr w:hSpace="142" w:wrap="around" w:vAnchor="text" w:hAnchor="margin" w:x="141" w:y="1867"/>
      <w:tabs>
        <w:tab w:val="right" w:pos="9072"/>
      </w:tabs>
      <w:spacing w:before="60" w:after="60"/>
      <w:ind w:left="-68"/>
    </w:pPr>
    <w:rPr>
      <w:rFonts w:eastAsia="Calibri" w:cs="Arial"/>
      <w:sz w:val="16"/>
      <w:szCs w:val="14"/>
      <w:lang w:val="de-DE" w:eastAsia="de-DE"/>
    </w:rPr>
  </w:style>
  <w:style w:type="paragraph" w:customStyle="1" w:styleId="70">
    <w:name w:val="Hinweis"/>
    <w:basedOn w:val="3"/>
    <w:qFormat/>
    <w:uiPriority w:val="0"/>
    <w:pPr>
      <w:framePr w:hSpace="142" w:wrap="around" w:vAnchor="margin" w:hAnchor="margin" w:x="143" w:yAlign="bottom"/>
      <w:jc w:val="left"/>
    </w:pPr>
    <w:rPr>
      <w:sz w:val="14"/>
      <w:lang w:eastAsia="de-DE"/>
    </w:rPr>
  </w:style>
  <w:style w:type="paragraph" w:customStyle="1" w:styleId="71">
    <w:name w:val="Default"/>
    <w:qFormat/>
    <w:uiPriority w:val="0"/>
    <w:pPr>
      <w:autoSpaceDE w:val="0"/>
      <w:autoSpaceDN w:val="0"/>
      <w:adjustRightInd w:val="0"/>
    </w:pPr>
    <w:rPr>
      <w:rFonts w:ascii="Arial" w:hAnsi="Arial" w:eastAsia="Times New Roman" w:cs="Arial"/>
      <w:color w:val="000000"/>
      <w:sz w:val="24"/>
      <w:szCs w:val="24"/>
      <w:lang w:val="de-CH" w:eastAsia="de-CH" w:bidi="ar-SA"/>
    </w:rPr>
  </w:style>
  <w:style w:type="character" w:customStyle="1" w:styleId="72">
    <w:name w:val="Balloon Text Char"/>
    <w:basedOn w:val="30"/>
    <w:link w:val="18"/>
    <w:semiHidden/>
    <w:qFormat/>
    <w:uiPriority w:val="99"/>
    <w:rPr>
      <w:rFonts w:ascii="Segoe UI" w:hAnsi="Segoe UI" w:cs="Segoe UI"/>
      <w:sz w:val="18"/>
      <w:szCs w:val="18"/>
      <w:lang w:val="de-AT"/>
    </w:rPr>
  </w:style>
  <w:style w:type="paragraph" w:styleId="73">
    <w:name w:val="Intense Quote"/>
    <w:basedOn w:val="53"/>
    <w:next w:val="1"/>
    <w:link w:val="74"/>
    <w:qFormat/>
    <w:uiPriority w:val="8"/>
  </w:style>
  <w:style w:type="character" w:customStyle="1" w:styleId="74">
    <w:name w:val="Intense Quote Char"/>
    <w:basedOn w:val="30"/>
    <w:link w:val="73"/>
    <w:qFormat/>
    <w:uiPriority w:val="8"/>
    <w:rPr>
      <w:rFonts w:ascii="Verdana" w:hAnsi="Verdana"/>
      <w:i/>
      <w:iCs/>
      <w:color w:val="FFFFFF"/>
      <w:lang w:val="de-AT"/>
    </w:rPr>
  </w:style>
  <w:style w:type="paragraph" w:customStyle="1" w:styleId="75">
    <w:name w:val="Tabellenzellenüberschrift 2"/>
    <w:qFormat/>
    <w:uiPriority w:val="0"/>
    <w:rPr>
      <w:rFonts w:ascii="Verdana" w:hAnsi="Verdana" w:eastAsia="Times New Roman" w:cs="Arial"/>
      <w:b/>
      <w:color w:val="FFFFFF"/>
      <w:sz w:val="18"/>
      <w:szCs w:val="14"/>
      <w:lang w:val="de-AT" w:eastAsia="de-AT" w:bidi="ar-SA"/>
    </w:rPr>
  </w:style>
  <w:style w:type="paragraph" w:customStyle="1" w:styleId="76">
    <w:name w:val="Tabellenzellenüberschrift 3"/>
    <w:qFormat/>
    <w:uiPriority w:val="0"/>
    <w:rPr>
      <w:rFonts w:ascii="Verdana" w:hAnsi="Verdana" w:eastAsia="Times New Roman" w:cs="Arial"/>
      <w:b/>
      <w:color w:val="FFFFFF"/>
      <w:sz w:val="14"/>
      <w:szCs w:val="14"/>
      <w:lang w:val="de-AT" w:eastAsia="de-AT" w:bidi="ar-SA"/>
    </w:rPr>
  </w:style>
  <w:style w:type="character" w:styleId="77">
    <w:name w:val="Placeholder Text"/>
    <w:basedOn w:val="30"/>
    <w:semiHidden/>
    <w:qFormat/>
    <w:uiPriority w:val="99"/>
    <w:rPr>
      <w:color w:val="808080"/>
    </w:rPr>
  </w:style>
  <w:style w:type="paragraph" w:customStyle="1" w:styleId="78">
    <w:name w:val="Kapitelüberschrift"/>
    <w:basedOn w:val="2"/>
    <w:qFormat/>
    <w:uiPriority w:val="0"/>
    <w:pPr>
      <w:keepNext/>
      <w:numPr>
        <w:numId w:val="0"/>
      </w:numPr>
      <w:pBdr>
        <w:bottom w:val="none" w:color="auto" w:sz="0" w:space="0"/>
        <w:between w:val="none" w:color="auto" w:sz="0" w:space="0"/>
      </w:pBdr>
      <w:tabs>
        <w:tab w:val="left" w:pos="0"/>
        <w:tab w:val="center" w:pos="4536"/>
        <w:tab w:val="clear" w:pos="426"/>
      </w:tabs>
      <w:spacing w:before="240" w:after="0"/>
      <w:ind w:right="0" w:hanging="70"/>
      <w:jc w:val="left"/>
    </w:pPr>
    <w:rPr>
      <w:rFonts w:eastAsia="Times New Roman" w:cs="Times New Roman"/>
      <w:b/>
      <w:bCs/>
      <w:caps/>
      <w:color w:val="DB071F"/>
      <w:spacing w:val="0"/>
      <w:w w:val="105"/>
      <w:sz w:val="18"/>
      <w:szCs w:val="18"/>
      <w:lang w:val="de-AT" w:eastAsia="de-AT"/>
    </w:rPr>
  </w:style>
  <w:style w:type="character" w:customStyle="1" w:styleId="79">
    <w:name w:val="Nicht aufgelöste Erwähnung1"/>
    <w:basedOn w:val="30"/>
    <w:semiHidden/>
    <w:unhideWhenUsed/>
    <w:qFormat/>
    <w:uiPriority w:val="99"/>
    <w:rPr>
      <w:color w:val="605E5C"/>
      <w:shd w:val="clear" w:color="auto" w:fill="E1DFDD"/>
    </w:rPr>
  </w:style>
  <w:style w:type="paragraph" w:customStyle="1" w:styleId="80">
    <w:name w:val="Revision1"/>
    <w:hidden/>
    <w:semiHidden/>
    <w:qFormat/>
    <w:uiPriority w:val="99"/>
    <w:rPr>
      <w:rFonts w:ascii="Verdana" w:hAnsi="Verdana" w:eastAsia="Times New Roman" w:cs="Times New Roman"/>
      <w:lang w:val="en-US" w:eastAsia="en-US" w:bidi="ar-SA"/>
    </w:rPr>
  </w:style>
  <w:style w:type="character" w:customStyle="1" w:styleId="81">
    <w:name w:val="Comment Text Char"/>
    <w:basedOn w:val="30"/>
    <w:link w:val="17"/>
    <w:semiHidden/>
    <w:qFormat/>
    <w:uiPriority w:val="99"/>
    <w:rPr>
      <w:rFonts w:ascii="Verdana" w:hAnsi="Verdana"/>
    </w:rPr>
  </w:style>
  <w:style w:type="character" w:customStyle="1" w:styleId="82">
    <w:name w:val="Comment Subject Char"/>
    <w:basedOn w:val="81"/>
    <w:link w:val="27"/>
    <w:semiHidden/>
    <w:qFormat/>
    <w:uiPriority w:val="99"/>
    <w:rPr>
      <w:rFonts w:ascii="Verdana" w:hAnsi="Verdana"/>
      <w:b/>
      <w:bCs/>
    </w:rPr>
  </w:style>
  <w:style w:type="character" w:customStyle="1" w:styleId="83">
    <w:name w:val="Unresolved Mention1"/>
    <w:basedOn w:val="3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landLube\Downloads\Template_word-doc_2020.dotx" TargetMode="External"/></Relationships>
</file>

<file path=word/theme/theme1.xml><?xml version="1.0" encoding="utf-8"?>
<a:theme xmlns:a="http://schemas.openxmlformats.org/drawingml/2006/main" name="qualityaustria Design 2019">
  <a:themeElements>
    <a:clrScheme name="qualityaustria Farben">
      <a:dk1>
        <a:sysClr val="windowText" lastClr="000000"/>
      </a:dk1>
      <a:lt1>
        <a:sysClr val="window" lastClr="FFFFFF"/>
      </a:lt1>
      <a:dk2>
        <a:srgbClr val="505050"/>
      </a:dk2>
      <a:lt2>
        <a:srgbClr val="E7E6E6"/>
      </a:lt2>
      <a:accent1>
        <a:srgbClr val="DB0720"/>
      </a:accent1>
      <a:accent2>
        <a:srgbClr val="F95165"/>
      </a:accent2>
      <a:accent3>
        <a:srgbClr val="FDC7CE"/>
      </a:accent3>
      <a:accent4>
        <a:srgbClr val="BFBFBF"/>
      </a:accent4>
      <a:accent5>
        <a:srgbClr val="7F7F7F"/>
      </a:accent5>
      <a:accent6>
        <a:srgbClr val="262626"/>
      </a:accent6>
      <a:hlink>
        <a:srgbClr val="DB0720"/>
      </a:hlink>
      <a:folHlink>
        <a:srgbClr val="F9596C"/>
      </a:folHlink>
    </a:clrScheme>
    <a:fontScheme name="Verdana">
      <a:majorFont>
        <a:latin typeface="Verdana"/>
        <a:ea typeface=""/>
        <a:cs typeface=""/>
      </a:majorFont>
      <a:minorFont>
        <a:latin typeface="Verdana"/>
        <a:ea typeface=""/>
        <a:cs typeface=""/>
      </a:minorFont>
    </a:fontScheme>
    <a:fmtScheme name="Subtile Körper">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942F3D-F65E-44AC-830F-7258E0C19D0D}">
  <ds:schemaRefs/>
</ds:datastoreItem>
</file>

<file path=docProps/app.xml><?xml version="1.0" encoding="utf-8"?>
<Properties xmlns="http://schemas.openxmlformats.org/officeDocument/2006/extended-properties" xmlns:vt="http://schemas.openxmlformats.org/officeDocument/2006/docPropsVTypes">
  <Template>Template_word-doc_2020</Template>
  <Company>Hewlett-Packard Company</Company>
  <Pages>5</Pages>
  <Words>2272</Words>
  <Characters>6547</Characters>
  <Lines>69</Lines>
  <Paragraphs>19</Paragraphs>
  <TotalTime>9</TotalTime>
  <ScaleCrop>false</ScaleCrop>
  <LinksUpToDate>false</LinksUpToDate>
  <CharactersWithSpaces>7387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2025-11-27T03:52:00Z</dcterms:created>
  <dc:creator>Roland Lube</dc:creator>
  <cp:lastModifiedBy>⛵</cp:lastModifiedBy>
  <cp:lastPrinted>2022-03-23T10:52:00Z</cp:lastPrinted>
  <dcterms:modified xsi:type="dcterms:W3CDTF">2026-01-07T01:49:39Z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eyJoZGlkIjoiMmJhNTg0YjI5YmFlYmNiYjU5ZDEzOTg3YmViNjIxMTQiLCJ1c2VySWQiOiIyMjgzMjcxMTYifQ==</vt:lpwstr>
  </property>
  <property fmtid="{D5CDD505-2E9C-101B-9397-08002B2CF9AE}" pid="3" name="KSOProductBuildVer">
    <vt:lpwstr>2052-12.1.0.24034</vt:lpwstr>
  </property>
  <property fmtid="{D5CDD505-2E9C-101B-9397-08002B2CF9AE}" pid="4" name="ICV">
    <vt:lpwstr>A494A6E39C21417695DD19FBDD5137E4_13</vt:lpwstr>
  </property>
</Properties>
</file>